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宋体" w:hAnsi="宋体"/>
          <w:b/>
          <w:sz w:val="44"/>
          <w:szCs w:val="44"/>
        </w:rPr>
      </w:pPr>
      <w:bookmarkStart w:id="0" w:name="_GoBack"/>
      <w:r>
        <w:rPr>
          <w:rFonts w:hint="eastAsia" w:ascii="宋体" w:hAnsi="宋体"/>
          <w:b/>
          <w:sz w:val="44"/>
          <w:szCs w:val="44"/>
        </w:rPr>
        <w:t xml:space="preserve"> </w:t>
      </w:r>
      <w:r>
        <w:rPr>
          <w:rFonts w:ascii="宋体" w:hAnsi="宋体"/>
          <w:b/>
          <w:sz w:val="44"/>
          <w:szCs w:val="44"/>
        </w:rPr>
        <w:t>20</w:t>
      </w:r>
      <w:r>
        <w:rPr>
          <w:rFonts w:hint="eastAsia" w:ascii="宋体" w:hAnsi="宋体"/>
          <w:b/>
          <w:sz w:val="44"/>
          <w:szCs w:val="44"/>
        </w:rPr>
        <w:t>21</w:t>
      </w:r>
      <w:r>
        <w:rPr>
          <w:rFonts w:ascii="宋体" w:hAnsi="宋体"/>
          <w:b/>
          <w:sz w:val="44"/>
          <w:szCs w:val="44"/>
        </w:rPr>
        <w:t>年第</w:t>
      </w:r>
      <w:r>
        <w:rPr>
          <w:rFonts w:hint="eastAsia" w:ascii="宋体" w:hAnsi="宋体"/>
          <w:b/>
          <w:sz w:val="44"/>
          <w:szCs w:val="44"/>
        </w:rPr>
        <w:t>二</w:t>
      </w:r>
      <w:r>
        <w:rPr>
          <w:rFonts w:ascii="宋体" w:hAnsi="宋体"/>
          <w:b/>
          <w:sz w:val="44"/>
          <w:szCs w:val="44"/>
        </w:rPr>
        <w:t>季度</w:t>
      </w:r>
      <w:r>
        <w:rPr>
          <w:rFonts w:hint="eastAsia" w:ascii="宋体" w:hAnsi="宋体"/>
          <w:b/>
          <w:sz w:val="44"/>
          <w:szCs w:val="44"/>
        </w:rPr>
        <w:t>张家港市人力资源</w:t>
      </w:r>
    </w:p>
    <w:p>
      <w:pPr>
        <w:adjustRightInd w:val="0"/>
        <w:snapToGrid w:val="0"/>
        <w:jc w:val="center"/>
        <w:rPr>
          <w:rFonts w:ascii="宋体" w:hAnsi="宋体"/>
          <w:b/>
          <w:sz w:val="44"/>
          <w:szCs w:val="44"/>
        </w:rPr>
      </w:pPr>
      <w:r>
        <w:rPr>
          <w:rFonts w:ascii="宋体" w:hAnsi="宋体"/>
          <w:b/>
          <w:sz w:val="44"/>
          <w:szCs w:val="44"/>
        </w:rPr>
        <w:t>市场供求状况分析</w:t>
      </w:r>
    </w:p>
    <w:p>
      <w:pPr>
        <w:adjustRightInd w:val="0"/>
        <w:snapToGrid w:val="0"/>
        <w:spacing w:line="360" w:lineRule="auto"/>
        <w:jc w:val="center"/>
        <w:rPr>
          <w:rFonts w:ascii="宋体" w:hAnsi="宋体"/>
          <w:sz w:val="24"/>
        </w:rPr>
      </w:pPr>
    </w:p>
    <w:bookmarkEnd w:id="0"/>
    <w:p>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pPr>
        <w:widowControl/>
        <w:spacing w:before="100" w:beforeAutospacing="1" w:after="100" w:afterAutospacing="1" w:line="360" w:lineRule="auto"/>
        <w:jc w:val="left"/>
        <w:rPr>
          <w:rFonts w:ascii="宋体" w:hAnsi="宋体" w:cs="宋体"/>
          <w:b/>
          <w:bCs/>
          <w:kern w:val="0"/>
          <w:sz w:val="30"/>
          <w:szCs w:val="30"/>
        </w:rPr>
      </w:pPr>
      <w:r>
        <w:rPr>
          <w:rFonts w:hint="eastAsia" w:ascii="宋体" w:hAnsi="宋体" w:cs="宋体"/>
          <w:b/>
          <w:bCs/>
          <w:kern w:val="0"/>
          <w:sz w:val="30"/>
          <w:szCs w:val="30"/>
        </w:rPr>
        <w:t>一、人力资源市场总体数据概况</w:t>
      </w:r>
    </w:p>
    <w:p>
      <w:pPr>
        <w:widowControl/>
        <w:spacing w:before="100" w:beforeAutospacing="1" w:after="100" w:afterAutospacing="1" w:line="360" w:lineRule="auto"/>
        <w:ind w:firstLine="420" w:firstLineChars="200"/>
        <w:jc w:val="left"/>
        <w:rPr>
          <w:rFonts w:ascii="宋体" w:hAnsi="宋体" w:cs="宋体"/>
          <w:b/>
          <w:bCs/>
          <w:kern w:val="0"/>
          <w:sz w:val="30"/>
          <w:szCs w:val="30"/>
        </w:rPr>
      </w:pPr>
      <w:r>
        <w:rPr>
          <w:rFonts w:hint="eastAsia" w:ascii="宋体" w:hAnsi="宋体" w:cs="宋体"/>
          <w:kern w:val="0"/>
          <w:szCs w:val="21"/>
        </w:rPr>
        <w:t>今年二季度，我市人力资源市场共提供岗位需求39998个次，求职者32918人次，求人倍率约为1.22 ，求人倍率较2020年同期降低2.40%。今年二季度，围绕城乡就业更加充分的工作目标，我市积极开展民营企业招聘月、重点群体就业援助招聘专场等主题活动，全市各级人力资源市场供求情况继续保持平稳态势。本期数据主要来源于市人力资源市场现场招聘会以及张家港市人才网站采集的供求状况信息，均为有效数据。</w:t>
      </w:r>
    </w:p>
    <w:p>
      <w:pPr>
        <w:widowControl/>
        <w:spacing w:before="100" w:beforeAutospacing="1" w:after="100" w:afterAutospacing="1" w:line="360" w:lineRule="auto"/>
        <w:jc w:val="left"/>
        <w:rPr>
          <w:rFonts w:ascii="宋体" w:hAnsi="宋体"/>
          <w:b/>
          <w:sz w:val="30"/>
          <w:szCs w:val="30"/>
        </w:rPr>
      </w:pPr>
      <w:r>
        <w:rPr>
          <w:rFonts w:hint="eastAsia" w:ascii="宋体" w:hAnsi="宋体"/>
          <w:b/>
          <w:sz w:val="30"/>
          <w:szCs w:val="30"/>
        </w:rPr>
        <w:t>二</w:t>
      </w:r>
      <w:r>
        <w:rPr>
          <w:rFonts w:ascii="宋体" w:hAnsi="宋体"/>
          <w:b/>
          <w:sz w:val="30"/>
          <w:szCs w:val="30"/>
        </w:rPr>
        <w:t>、供求总体情况</w:t>
      </w:r>
    </w:p>
    <w:p>
      <w:pPr>
        <w:spacing w:line="360" w:lineRule="auto"/>
        <w:rPr>
          <w:rFonts w:ascii="宋体" w:hAnsi="宋体" w:cs="宋体"/>
          <w:color w:val="FF0000"/>
          <w:kern w:val="0"/>
          <w:szCs w:val="21"/>
        </w:rPr>
      </w:pPr>
      <w:r>
        <w:rPr>
          <w:rFonts w:hint="eastAsia" w:ascii="宋体" w:hAnsi="宋体" w:cs="宋体"/>
          <w:b/>
          <w:kern w:val="0"/>
          <w:szCs w:val="21"/>
        </w:rPr>
        <w:t>（一）供求总体状况：</w:t>
      </w:r>
      <w:r>
        <w:rPr>
          <w:rFonts w:hint="eastAsia" w:ascii="宋体" w:hAnsi="宋体" w:cs="宋体"/>
          <w:kern w:val="0"/>
          <w:szCs w:val="21"/>
        </w:rPr>
        <w:t>本季度需求人数39998人，与去年同期相比增加1905人，增幅为4.99%。求职人数为32918人，与去年同期相比增加1148人，增幅为3.61%。</w:t>
      </w:r>
    </w:p>
    <w:p>
      <w:pPr>
        <w:adjustRightInd w:val="0"/>
        <w:snapToGrid w:val="0"/>
        <w:spacing w:line="360" w:lineRule="auto"/>
        <w:jc w:val="center"/>
        <w:rPr>
          <w:rFonts w:ascii="宋体" w:hAnsi="宋体"/>
          <w:szCs w:val="21"/>
        </w:rPr>
      </w:pPr>
      <w:r>
        <w:rPr>
          <w:rFonts w:hint="eastAsia" w:ascii="宋体" w:hAnsi="宋体"/>
          <w:szCs w:val="21"/>
        </w:rPr>
        <w:t>表</w:t>
      </w:r>
      <w:r>
        <w:rPr>
          <w:rFonts w:ascii="宋体" w:hAnsi="宋体"/>
          <w:szCs w:val="21"/>
        </w:rPr>
        <w:t>1</w:t>
      </w:r>
      <w:r>
        <w:rPr>
          <w:rFonts w:hint="eastAsia" w:ascii="宋体" w:hAnsi="宋体"/>
          <w:szCs w:val="21"/>
        </w:rPr>
        <w:t>. 供求总体情况</w:t>
      </w:r>
    </w:p>
    <w:tbl>
      <w:tblPr>
        <w:tblStyle w:val="6"/>
        <w:tblW w:w="0" w:type="auto"/>
        <w:jc w:val="center"/>
        <w:tblLayout w:type="autofit"/>
        <w:tblCellMar>
          <w:top w:w="0" w:type="dxa"/>
          <w:left w:w="0" w:type="dxa"/>
          <w:bottom w:w="0" w:type="dxa"/>
          <w:right w:w="0" w:type="dxa"/>
        </w:tblCellMar>
      </w:tblPr>
      <w:tblGrid>
        <w:gridCol w:w="986"/>
        <w:gridCol w:w="1308"/>
        <w:gridCol w:w="1294"/>
        <w:gridCol w:w="1160"/>
        <w:gridCol w:w="1390"/>
        <w:gridCol w:w="1354"/>
      </w:tblGrid>
      <w:tr>
        <w:tblPrEx>
          <w:tblCellMar>
            <w:top w:w="0" w:type="dxa"/>
            <w:left w:w="0" w:type="dxa"/>
            <w:bottom w:w="0" w:type="dxa"/>
            <w:right w:w="0" w:type="dxa"/>
          </w:tblCellMar>
        </w:tblPrEx>
        <w:trPr>
          <w:trHeight w:val="820" w:hRule="atLeast"/>
          <w:jc w:val="center"/>
        </w:trPr>
        <w:tc>
          <w:tcPr>
            <w:tcW w:w="986"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ind w:firstLine="420"/>
              <w:jc w:val="center"/>
              <w:rPr>
                <w:rFonts w:ascii="宋体" w:hAnsi="宋体" w:cs="宋体"/>
                <w:kern w:val="0"/>
                <w:szCs w:val="21"/>
              </w:rPr>
            </w:pPr>
            <w:r>
              <w:rPr>
                <w:rFonts w:ascii="宋体" w:hAnsi="宋体" w:cs="宋体"/>
                <w:kern w:val="0"/>
                <w:szCs w:val="21"/>
              </w:rPr>
              <w:t> </w:t>
            </w:r>
          </w:p>
        </w:tc>
        <w:tc>
          <w:tcPr>
            <w:tcW w:w="1308"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1294"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116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c>
          <w:tcPr>
            <w:tcW w:w="1390" w:type="dxa"/>
            <w:tcBorders>
              <w:top w:val="single" w:color="auto" w:sz="8" w:space="0"/>
              <w:left w:val="nil"/>
              <w:bottom w:val="single" w:color="auto" w:sz="8" w:space="0"/>
              <w:right w:val="single" w:color="auto" w:sz="8" w:space="0"/>
            </w:tcBorders>
            <w:shd w:val="clear" w:color="auto" w:fill="FFFF99"/>
            <w:vAlign w:val="center"/>
          </w:tcPr>
          <w:p>
            <w:pPr>
              <w:widowControl/>
              <w:jc w:val="center"/>
              <w:rPr>
                <w:rFonts w:ascii="宋体" w:hAnsi="宋体" w:cs="宋体"/>
                <w:kern w:val="0"/>
                <w:szCs w:val="21"/>
              </w:rPr>
            </w:pPr>
            <w:r>
              <w:rPr>
                <w:rFonts w:hint="eastAsia" w:ascii="宋体" w:hAnsi="宋体" w:cs="宋体"/>
                <w:kern w:val="0"/>
                <w:szCs w:val="21"/>
              </w:rPr>
              <w:t>上半年累计需求人数（人）</w:t>
            </w:r>
          </w:p>
        </w:tc>
        <w:tc>
          <w:tcPr>
            <w:tcW w:w="1354" w:type="dxa"/>
            <w:tcBorders>
              <w:top w:val="single" w:color="auto" w:sz="8" w:space="0"/>
              <w:left w:val="nil"/>
              <w:bottom w:val="single" w:color="auto" w:sz="8" w:space="0"/>
              <w:right w:val="single" w:color="auto" w:sz="8" w:space="0"/>
            </w:tcBorders>
            <w:shd w:val="clear" w:color="auto" w:fill="FFFF99"/>
            <w:vAlign w:val="center"/>
          </w:tcPr>
          <w:p>
            <w:pPr>
              <w:widowControl/>
              <w:jc w:val="center"/>
              <w:rPr>
                <w:rFonts w:ascii="宋体" w:hAnsi="宋体" w:cs="宋体"/>
                <w:kern w:val="0"/>
                <w:szCs w:val="21"/>
              </w:rPr>
            </w:pPr>
            <w:r>
              <w:rPr>
                <w:rFonts w:hint="eastAsia" w:ascii="宋体" w:hAnsi="宋体" w:cs="宋体"/>
                <w:kern w:val="0"/>
                <w:szCs w:val="21"/>
              </w:rPr>
              <w:t>上半年累计求职人数（人）</w:t>
            </w:r>
          </w:p>
        </w:tc>
      </w:tr>
      <w:tr>
        <w:tblPrEx>
          <w:tblCellMar>
            <w:top w:w="0" w:type="dxa"/>
            <w:left w:w="0" w:type="dxa"/>
            <w:bottom w:w="0" w:type="dxa"/>
            <w:right w:w="0" w:type="dxa"/>
          </w:tblCellMar>
        </w:tblPrEx>
        <w:trPr>
          <w:trHeight w:val="804" w:hRule="atLeast"/>
          <w:jc w:val="center"/>
        </w:trPr>
        <w:tc>
          <w:tcPr>
            <w:tcW w:w="986"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本期</w:t>
            </w:r>
          </w:p>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有效数</w:t>
            </w:r>
          </w:p>
        </w:tc>
        <w:tc>
          <w:tcPr>
            <w:tcW w:w="1308"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39998</w:t>
            </w:r>
          </w:p>
        </w:tc>
        <w:tc>
          <w:tcPr>
            <w:tcW w:w="129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32918</w:t>
            </w:r>
          </w:p>
        </w:tc>
        <w:tc>
          <w:tcPr>
            <w:tcW w:w="116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1.22</w:t>
            </w:r>
          </w:p>
        </w:tc>
        <w:tc>
          <w:tcPr>
            <w:tcW w:w="1390" w:type="dxa"/>
            <w:tcBorders>
              <w:top w:val="single" w:color="auto" w:sz="8" w:space="0"/>
              <w:left w:val="nil"/>
              <w:bottom w:val="single" w:color="auto" w:sz="8" w:space="0"/>
              <w:right w:val="single" w:color="auto" w:sz="8" w:space="0"/>
            </w:tcBorders>
            <w:shd w:val="clear" w:color="auto" w:fill="CCFFFF"/>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81149</w:t>
            </w:r>
          </w:p>
        </w:tc>
        <w:tc>
          <w:tcPr>
            <w:tcW w:w="1354" w:type="dxa"/>
            <w:tcBorders>
              <w:top w:val="single" w:color="auto" w:sz="8" w:space="0"/>
              <w:left w:val="nil"/>
              <w:bottom w:val="single" w:color="auto" w:sz="8" w:space="0"/>
              <w:right w:val="single" w:color="auto" w:sz="8" w:space="0"/>
            </w:tcBorders>
            <w:shd w:val="clear" w:color="auto" w:fill="CCFFFF"/>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65876</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（二）</w:t>
      </w:r>
      <w:r>
        <w:rPr>
          <w:rFonts w:ascii="宋体" w:hAnsi="宋体"/>
          <w:b/>
          <w:szCs w:val="21"/>
        </w:rPr>
        <w:t>分</w:t>
      </w:r>
      <w:r>
        <w:rPr>
          <w:rFonts w:hint="eastAsia" w:ascii="宋体" w:hAnsi="宋体"/>
          <w:b/>
          <w:szCs w:val="21"/>
        </w:rPr>
        <w:t>产业、</w:t>
      </w:r>
      <w:r>
        <w:rPr>
          <w:rFonts w:ascii="宋体" w:hAnsi="宋体"/>
          <w:b/>
          <w:szCs w:val="21"/>
        </w:rPr>
        <w:t>行业劳动力需求</w:t>
      </w:r>
    </w:p>
    <w:p>
      <w:pPr>
        <w:spacing w:line="360" w:lineRule="auto"/>
        <w:ind w:firstLine="420" w:firstLineChars="200"/>
        <w:rPr>
          <w:rFonts w:ascii="宋体" w:hAnsi="宋体" w:cs="宋体"/>
          <w:color w:val="FF0000"/>
          <w:kern w:val="0"/>
          <w:szCs w:val="21"/>
        </w:rPr>
      </w:pPr>
      <w:r>
        <w:rPr>
          <w:rFonts w:hint="eastAsia" w:ascii="宋体" w:hAnsi="宋体" w:cs="宋体"/>
          <w:kern w:val="0"/>
          <w:szCs w:val="21"/>
        </w:rPr>
        <w:t>从产业分组情况看，第一产业本季度为</w:t>
      </w:r>
      <w:r>
        <w:rPr>
          <w:rFonts w:ascii="宋体" w:hAnsi="宋体" w:cs="宋体"/>
          <w:kern w:val="0"/>
          <w:szCs w:val="21"/>
        </w:rPr>
        <w:t>0</w:t>
      </w:r>
      <w:r>
        <w:rPr>
          <w:rFonts w:hint="eastAsia" w:ascii="宋体" w:hAnsi="宋体" w:cs="宋体"/>
          <w:kern w:val="0"/>
          <w:szCs w:val="21"/>
        </w:rPr>
        <w:t>；第二产业本季需求数为26844人，占总需求的67.11%，第三产业本季需求数为13154人，占总需求的32.89%。</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第一产业始终为0，第二产业居人力资源市场需求的主导地位，说明用工需求主要集中在生产性企业中，第三产业比重本季略有上升。</w:t>
      </w:r>
    </w:p>
    <w:p>
      <w:pPr>
        <w:adjustRightInd w:val="0"/>
        <w:snapToGrid w:val="0"/>
        <w:spacing w:line="360" w:lineRule="auto"/>
        <w:jc w:val="center"/>
        <w:rPr>
          <w:rFonts w:ascii="宋体" w:hAnsi="宋体"/>
          <w:szCs w:val="21"/>
        </w:rPr>
      </w:pPr>
      <w:r>
        <w:rPr>
          <w:rFonts w:hint="eastAsia" w:ascii="宋体" w:hAnsi="宋体"/>
          <w:szCs w:val="21"/>
        </w:rPr>
        <w:t>表2. 按产业分组的需求人数</w:t>
      </w:r>
    </w:p>
    <w:tbl>
      <w:tblPr>
        <w:tblStyle w:val="6"/>
        <w:tblW w:w="702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352"/>
        <w:gridCol w:w="1432"/>
        <w:gridCol w:w="1443"/>
        <w:gridCol w:w="1399"/>
        <w:gridCol w:w="139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产业</w:t>
            </w:r>
          </w:p>
        </w:tc>
        <w:tc>
          <w:tcPr>
            <w:tcW w:w="1432"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 (人)</w:t>
            </w:r>
          </w:p>
        </w:tc>
        <w:tc>
          <w:tcPr>
            <w:tcW w:w="1443"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本季度需求所占比重 (%)</w:t>
            </w:r>
          </w:p>
        </w:tc>
        <w:tc>
          <w:tcPr>
            <w:tcW w:w="1399" w:type="dxa"/>
            <w:tcBorders>
              <w:top w:val="single" w:color="000000" w:sz="8" w:space="0"/>
              <w:left w:val="nil"/>
              <w:bottom w:val="single" w:color="000000" w:sz="8" w:space="0"/>
              <w:right w:val="single" w:color="000000" w:sz="8" w:space="0"/>
            </w:tcBorders>
            <w:shd w:val="clear" w:color="auto" w:fill="FFFF99"/>
            <w:vAlign w:val="center"/>
          </w:tcPr>
          <w:p>
            <w:pPr>
              <w:widowControl/>
              <w:jc w:val="center"/>
              <w:rPr>
                <w:rFonts w:ascii="宋体" w:hAnsi="宋体" w:cs="宋体"/>
                <w:kern w:val="0"/>
                <w:szCs w:val="21"/>
              </w:rPr>
            </w:pPr>
            <w:r>
              <w:rPr>
                <w:rFonts w:hint="eastAsia" w:ascii="宋体" w:hAnsi="宋体" w:cs="宋体"/>
                <w:kern w:val="0"/>
                <w:szCs w:val="21"/>
              </w:rPr>
              <w:t>上半年累计需求人数（人）</w:t>
            </w:r>
          </w:p>
        </w:tc>
        <w:tc>
          <w:tcPr>
            <w:tcW w:w="1399" w:type="dxa"/>
            <w:tcBorders>
              <w:top w:val="single" w:color="000000" w:sz="8" w:space="0"/>
              <w:left w:val="nil"/>
              <w:bottom w:val="single" w:color="000000" w:sz="8" w:space="0"/>
              <w:right w:val="single" w:color="000000" w:sz="8" w:space="0"/>
            </w:tcBorders>
            <w:shd w:val="clear" w:color="auto" w:fill="FFFF99"/>
            <w:vAlign w:val="center"/>
          </w:tcPr>
          <w:p>
            <w:pPr>
              <w:widowControl/>
              <w:jc w:val="center"/>
              <w:rPr>
                <w:rFonts w:ascii="宋体" w:hAnsi="宋体" w:cs="宋体"/>
                <w:kern w:val="0"/>
                <w:szCs w:val="21"/>
              </w:rPr>
            </w:pPr>
            <w:r>
              <w:rPr>
                <w:rFonts w:hint="eastAsia" w:ascii="宋体" w:hAnsi="宋体" w:cs="宋体"/>
                <w:kern w:val="0"/>
                <w:szCs w:val="21"/>
              </w:rPr>
              <w:t>上半年累计需求所占比重（%）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52"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第一产业</w:t>
            </w:r>
          </w:p>
        </w:tc>
        <w:tc>
          <w:tcPr>
            <w:tcW w:w="1432"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0</w:t>
            </w:r>
          </w:p>
        </w:tc>
        <w:tc>
          <w:tcPr>
            <w:tcW w:w="1443"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0.00%</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0</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52"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第二产业</w:t>
            </w:r>
          </w:p>
        </w:tc>
        <w:tc>
          <w:tcPr>
            <w:tcW w:w="1432"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26844</w:t>
            </w:r>
          </w:p>
        </w:tc>
        <w:tc>
          <w:tcPr>
            <w:tcW w:w="1443"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67.11%</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56649</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46131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52"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第三产业</w:t>
            </w:r>
          </w:p>
        </w:tc>
        <w:tc>
          <w:tcPr>
            <w:tcW w:w="1432"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13154</w:t>
            </w:r>
          </w:p>
        </w:tc>
        <w:tc>
          <w:tcPr>
            <w:tcW w:w="1443"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32.89%</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24500</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19745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52"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1432"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39998</w:t>
            </w:r>
          </w:p>
        </w:tc>
        <w:tc>
          <w:tcPr>
            <w:tcW w:w="1443"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100.00%</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81149</w:t>
            </w:r>
          </w:p>
        </w:tc>
        <w:tc>
          <w:tcPr>
            <w:tcW w:w="1399" w:type="dxa"/>
            <w:tcBorders>
              <w:top w:val="single" w:color="000000" w:sz="8" w:space="0"/>
              <w:left w:val="nil"/>
              <w:bottom w:val="single" w:color="000000" w:sz="8" w:space="0"/>
              <w:right w:val="single" w:color="auto" w:sz="8" w:space="0"/>
            </w:tcBorders>
            <w:shd w:val="clear" w:color="auto" w:fill="CCFFFF"/>
            <w:vAlign w:val="center"/>
          </w:tcPr>
          <w:p>
            <w:pPr>
              <w:jc w:val="center"/>
            </w:pPr>
            <w:r>
              <w:rPr>
                <w:rFonts w:hint="eastAsia"/>
              </w:rPr>
              <w:t>65876</w:t>
            </w:r>
          </w:p>
        </w:tc>
      </w:tr>
    </w:tbl>
    <w:p>
      <w:pPr>
        <w:adjustRightInd w:val="0"/>
        <w:snapToGrid w:val="0"/>
        <w:spacing w:line="360" w:lineRule="auto"/>
        <w:rPr>
          <w:rFonts w:ascii="宋体" w:hAnsi="宋体"/>
          <w:color w:val="FF0000"/>
          <w:szCs w:val="21"/>
        </w:rPr>
      </w:pPr>
      <w:r>
        <w:rPr>
          <w:rFonts w:hint="eastAsia" w:ascii="宋体" w:hAnsi="宋体"/>
          <w:color w:val="FF0000"/>
          <w:szCs w:val="21"/>
        </w:rPr>
        <w:t xml:space="preserve">                </w:t>
      </w:r>
    </w:p>
    <w:p>
      <w:pPr>
        <w:adjustRightInd w:val="0"/>
        <w:snapToGrid w:val="0"/>
        <w:spacing w:line="360" w:lineRule="auto"/>
        <w:ind w:firstLine="420" w:firstLineChars="200"/>
        <w:rPr>
          <w:rFonts w:ascii="宋体" w:hAnsi="宋体"/>
          <w:szCs w:val="21"/>
        </w:rPr>
      </w:pPr>
      <w:r>
        <w:rPr>
          <w:rFonts w:hint="eastAsia" w:ascii="宋体" w:hAnsi="宋体"/>
          <w:szCs w:val="21"/>
        </w:rPr>
        <w:t>从行业需求来看，本季度63.23%的用人需求集中在制造业，其次为</w:t>
      </w:r>
      <w:r>
        <w:rPr>
          <w:rFonts w:hint="eastAsia" w:ascii="宋体" w:hAnsi="宋体" w:cs="宋体"/>
          <w:kern w:val="0"/>
          <w:szCs w:val="21"/>
        </w:rPr>
        <w:t>信息传输、计算机服务和软件业</w:t>
      </w:r>
      <w:r>
        <w:rPr>
          <w:rFonts w:hint="eastAsia" w:ascii="宋体" w:hAnsi="宋体"/>
          <w:szCs w:val="21"/>
        </w:rPr>
        <w:t>，占总需求的10.39%，再次为</w:t>
      </w:r>
      <w:r>
        <w:rPr>
          <w:rFonts w:hint="eastAsia" w:ascii="宋体" w:hAnsi="宋体" w:cs="宋体"/>
          <w:kern w:val="0"/>
          <w:szCs w:val="21"/>
        </w:rPr>
        <w:t>居民服务和其他服务业</w:t>
      </w:r>
      <w:r>
        <w:rPr>
          <w:rFonts w:hint="eastAsia" w:ascii="宋体" w:hAnsi="宋体"/>
          <w:szCs w:val="21"/>
        </w:rPr>
        <w:t>，占总需求的5.19%。</w:t>
      </w:r>
    </w:p>
    <w:p>
      <w:pPr>
        <w:adjustRightInd w:val="0"/>
        <w:snapToGrid w:val="0"/>
        <w:spacing w:line="360" w:lineRule="auto"/>
        <w:jc w:val="center"/>
        <w:rPr>
          <w:rFonts w:ascii="宋体" w:hAnsi="宋体"/>
          <w:szCs w:val="21"/>
        </w:rPr>
      </w:pPr>
      <w:r>
        <w:rPr>
          <w:rFonts w:hint="eastAsia" w:ascii="宋体" w:hAnsi="宋体"/>
          <w:szCs w:val="21"/>
        </w:rPr>
        <w:t>表3</w:t>
      </w:r>
      <w:r>
        <w:rPr>
          <w:rFonts w:ascii="宋体" w:hAnsi="宋体"/>
          <w:szCs w:val="21"/>
        </w:rPr>
        <w:t>. 按行业分组的需求人数</w:t>
      </w:r>
    </w:p>
    <w:tbl>
      <w:tblPr>
        <w:tblStyle w:val="6"/>
        <w:tblW w:w="4599" w:type="pct"/>
        <w:tblCellSpacing w:w="0" w:type="dxa"/>
        <w:tblInd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autofit"/>
        <w:tblCellMar>
          <w:top w:w="0" w:type="dxa"/>
          <w:left w:w="0" w:type="dxa"/>
          <w:bottom w:w="0" w:type="dxa"/>
          <w:right w:w="0" w:type="dxa"/>
        </w:tblCellMar>
      </w:tblPr>
      <w:tblGrid>
        <w:gridCol w:w="3021"/>
        <w:gridCol w:w="1104"/>
        <w:gridCol w:w="1064"/>
        <w:gridCol w:w="1367"/>
        <w:gridCol w:w="1134"/>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行业</w:t>
            </w:r>
          </w:p>
        </w:tc>
        <w:tc>
          <w:tcPr>
            <w:tcW w:w="718" w:type="pct"/>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 (人)</w:t>
            </w:r>
          </w:p>
        </w:tc>
        <w:tc>
          <w:tcPr>
            <w:tcW w:w="692"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本季度需求所占比</w:t>
            </w:r>
            <w:r>
              <w:rPr>
                <w:rFonts w:hint="eastAsia" w:ascii="宋体" w:hAnsi="宋体" w:cs="宋体"/>
                <w:kern w:val="0"/>
                <w:szCs w:val="21"/>
              </w:rPr>
              <w:br w:type="textWrapping"/>
            </w:r>
            <w:r>
              <w:rPr>
                <w:rFonts w:hint="eastAsia" w:ascii="宋体" w:hAnsi="宋体" w:cs="宋体"/>
                <w:kern w:val="0"/>
                <w:szCs w:val="21"/>
              </w:rPr>
              <w:t>重 (%)</w:t>
            </w:r>
          </w:p>
        </w:tc>
        <w:tc>
          <w:tcPr>
            <w:tcW w:w="889" w:type="pct"/>
            <w:tcBorders>
              <w:top w:val="single" w:color="000000" w:sz="8" w:space="0"/>
              <w:left w:val="single" w:color="000000" w:sz="8" w:space="0"/>
              <w:bottom w:val="single" w:color="000000" w:sz="8" w:space="0"/>
              <w:right w:val="single" w:color="000000"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上半年累计需求人数 (人)</w:t>
            </w:r>
          </w:p>
        </w:tc>
        <w:tc>
          <w:tcPr>
            <w:tcW w:w="737" w:type="pct"/>
            <w:tcBorders>
              <w:top w:val="single" w:color="000000" w:sz="8" w:space="0"/>
              <w:left w:val="single" w:color="000000" w:sz="8" w:space="0"/>
              <w:bottom w:val="single" w:color="000000" w:sz="8" w:space="0"/>
              <w:right w:val="single" w:color="000000"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上半年累计需求所占比重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农、林、牧、渔业</w:t>
            </w:r>
          </w:p>
        </w:tc>
        <w:tc>
          <w:tcPr>
            <w:tcW w:w="718"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w:t>
            </w:r>
          </w:p>
        </w:tc>
        <w:tc>
          <w:tcPr>
            <w:tcW w:w="69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0.00%</w:t>
            </w:r>
          </w:p>
        </w:tc>
        <w:tc>
          <w:tcPr>
            <w:tcW w:w="889"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w:t>
            </w:r>
          </w:p>
        </w:tc>
        <w:tc>
          <w:tcPr>
            <w:tcW w:w="737"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采矿业</w:t>
            </w:r>
          </w:p>
        </w:tc>
        <w:tc>
          <w:tcPr>
            <w:tcW w:w="718"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0.00%</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制造业</w:t>
            </w:r>
          </w:p>
        </w:tc>
        <w:tc>
          <w:tcPr>
            <w:tcW w:w="718"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25292</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63.23%</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53759</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66.25%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电力、燃气及水的生产和供应业</w:t>
            </w:r>
          </w:p>
        </w:tc>
        <w:tc>
          <w:tcPr>
            <w:tcW w:w="718"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123</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0.31%</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123</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0.15%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建筑业</w:t>
            </w:r>
          </w:p>
        </w:tc>
        <w:tc>
          <w:tcPr>
            <w:tcW w:w="718"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1552</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3.88%</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2890</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3.56%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交通运输、仓储和邮政业</w:t>
            </w:r>
          </w:p>
        </w:tc>
        <w:tc>
          <w:tcPr>
            <w:tcW w:w="718" w:type="pct"/>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486</w:t>
            </w:r>
          </w:p>
        </w:tc>
        <w:tc>
          <w:tcPr>
            <w:tcW w:w="692"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1.22%</w:t>
            </w:r>
          </w:p>
        </w:tc>
        <w:tc>
          <w:tcPr>
            <w:tcW w:w="889"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796</w:t>
            </w:r>
          </w:p>
        </w:tc>
        <w:tc>
          <w:tcPr>
            <w:tcW w:w="737"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0.98%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信息传输、计算机服务和软件业</w:t>
            </w:r>
          </w:p>
        </w:tc>
        <w:tc>
          <w:tcPr>
            <w:tcW w:w="718"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4154</w:t>
            </w:r>
          </w:p>
        </w:tc>
        <w:tc>
          <w:tcPr>
            <w:tcW w:w="69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10.39%</w:t>
            </w:r>
          </w:p>
        </w:tc>
        <w:tc>
          <w:tcPr>
            <w:tcW w:w="889"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7505</w:t>
            </w:r>
          </w:p>
        </w:tc>
        <w:tc>
          <w:tcPr>
            <w:tcW w:w="737"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9.25%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批发和零售业</w:t>
            </w:r>
          </w:p>
        </w:tc>
        <w:tc>
          <w:tcPr>
            <w:tcW w:w="718"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2818</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7.05%</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4443</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5.48%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住宿和餐饮业</w:t>
            </w:r>
          </w:p>
        </w:tc>
        <w:tc>
          <w:tcPr>
            <w:tcW w:w="718"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1321</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3.30%</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2780</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3.43%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金融业</w:t>
            </w:r>
          </w:p>
        </w:tc>
        <w:tc>
          <w:tcPr>
            <w:tcW w:w="718"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225</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0.56%</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383</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0.47%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房地产业</w:t>
            </w:r>
          </w:p>
        </w:tc>
        <w:tc>
          <w:tcPr>
            <w:tcW w:w="718"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186</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0.47%</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355</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0.44%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租赁和商务服务业</w:t>
            </w:r>
          </w:p>
        </w:tc>
        <w:tc>
          <w:tcPr>
            <w:tcW w:w="718"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217</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0.54%</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532</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0.66%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科学研究、技术服务和地质勘查业</w:t>
            </w:r>
          </w:p>
        </w:tc>
        <w:tc>
          <w:tcPr>
            <w:tcW w:w="718"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157</w:t>
            </w:r>
          </w:p>
        </w:tc>
        <w:tc>
          <w:tcPr>
            <w:tcW w:w="692"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0.39%</w:t>
            </w:r>
          </w:p>
        </w:tc>
        <w:tc>
          <w:tcPr>
            <w:tcW w:w="889"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403</w:t>
            </w:r>
          </w:p>
        </w:tc>
        <w:tc>
          <w:tcPr>
            <w:tcW w:w="737"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0.50%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水利、环境和公共设施管理业</w:t>
            </w:r>
          </w:p>
        </w:tc>
        <w:tc>
          <w:tcPr>
            <w:tcW w:w="718"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28</w:t>
            </w:r>
          </w:p>
        </w:tc>
        <w:tc>
          <w:tcPr>
            <w:tcW w:w="692"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0.07%</w:t>
            </w:r>
          </w:p>
        </w:tc>
        <w:tc>
          <w:tcPr>
            <w:tcW w:w="889"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117</w:t>
            </w:r>
          </w:p>
        </w:tc>
        <w:tc>
          <w:tcPr>
            <w:tcW w:w="737"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0.14%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居民服务和其他服务业</w:t>
            </w:r>
          </w:p>
        </w:tc>
        <w:tc>
          <w:tcPr>
            <w:tcW w:w="718"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2076</w:t>
            </w:r>
          </w:p>
        </w:tc>
        <w:tc>
          <w:tcPr>
            <w:tcW w:w="69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5.19%</w:t>
            </w:r>
          </w:p>
        </w:tc>
        <w:tc>
          <w:tcPr>
            <w:tcW w:w="889"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4506</w:t>
            </w:r>
          </w:p>
        </w:tc>
        <w:tc>
          <w:tcPr>
            <w:tcW w:w="737"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5.55%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教育</w:t>
            </w:r>
          </w:p>
        </w:tc>
        <w:tc>
          <w:tcPr>
            <w:tcW w:w="718"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576</w:t>
            </w:r>
          </w:p>
        </w:tc>
        <w:tc>
          <w:tcPr>
            <w:tcW w:w="69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1.44%</w:t>
            </w:r>
          </w:p>
        </w:tc>
        <w:tc>
          <w:tcPr>
            <w:tcW w:w="889"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1159</w:t>
            </w:r>
          </w:p>
        </w:tc>
        <w:tc>
          <w:tcPr>
            <w:tcW w:w="737"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1.43%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卫生、社会保障和社会福利业</w:t>
            </w:r>
          </w:p>
        </w:tc>
        <w:tc>
          <w:tcPr>
            <w:tcW w:w="718"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446</w:t>
            </w:r>
          </w:p>
        </w:tc>
        <w:tc>
          <w:tcPr>
            <w:tcW w:w="692"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1.12%</w:t>
            </w:r>
          </w:p>
        </w:tc>
        <w:tc>
          <w:tcPr>
            <w:tcW w:w="889"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772</w:t>
            </w:r>
          </w:p>
        </w:tc>
        <w:tc>
          <w:tcPr>
            <w:tcW w:w="737"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0.95%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文化、体育和娱乐业</w:t>
            </w:r>
          </w:p>
        </w:tc>
        <w:tc>
          <w:tcPr>
            <w:tcW w:w="718"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194</w:t>
            </w:r>
          </w:p>
        </w:tc>
        <w:tc>
          <w:tcPr>
            <w:tcW w:w="692"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0.49%</w:t>
            </w:r>
          </w:p>
        </w:tc>
        <w:tc>
          <w:tcPr>
            <w:tcW w:w="889"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272</w:t>
            </w:r>
          </w:p>
        </w:tc>
        <w:tc>
          <w:tcPr>
            <w:tcW w:w="737"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0.34%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公共管理与社会组织</w:t>
            </w:r>
          </w:p>
        </w:tc>
        <w:tc>
          <w:tcPr>
            <w:tcW w:w="718"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147</w:t>
            </w:r>
          </w:p>
        </w:tc>
        <w:tc>
          <w:tcPr>
            <w:tcW w:w="69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0.37%</w:t>
            </w:r>
          </w:p>
        </w:tc>
        <w:tc>
          <w:tcPr>
            <w:tcW w:w="889"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354</w:t>
            </w:r>
          </w:p>
        </w:tc>
        <w:tc>
          <w:tcPr>
            <w:tcW w:w="737"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0.44%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国际组织</w:t>
            </w:r>
          </w:p>
        </w:tc>
        <w:tc>
          <w:tcPr>
            <w:tcW w:w="718"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w:t>
            </w:r>
          </w:p>
        </w:tc>
        <w:tc>
          <w:tcPr>
            <w:tcW w:w="692"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0.00%</w:t>
            </w:r>
          </w:p>
        </w:tc>
        <w:tc>
          <w:tcPr>
            <w:tcW w:w="889"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0</w:t>
            </w:r>
          </w:p>
        </w:tc>
        <w:tc>
          <w:tcPr>
            <w:tcW w:w="737" w:type="pct"/>
            <w:tcBorders>
              <w:top w:val="single" w:color="auto" w:sz="8" w:space="0"/>
              <w:left w:val="single" w:color="000000" w:sz="8" w:space="0"/>
              <w:bottom w:val="single" w:color="auto" w:sz="8" w:space="0"/>
              <w:right w:val="single" w:color="000000" w:sz="8" w:space="0"/>
            </w:tcBorders>
            <w:shd w:val="clear" w:color="auto" w:fill="CCFFFF"/>
            <w:vAlign w:val="center"/>
          </w:tcPr>
          <w:p>
            <w:pPr>
              <w:jc w:val="center"/>
              <w:rPr>
                <w:sz w:val="20"/>
                <w:szCs w:val="20"/>
              </w:rPr>
            </w:pPr>
            <w:r>
              <w:rPr>
                <w:rFonts w:hint="eastAsia"/>
                <w:sz w:val="20"/>
                <w:szCs w:val="20"/>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64"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718"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39998</w:t>
            </w:r>
          </w:p>
        </w:tc>
        <w:tc>
          <w:tcPr>
            <w:tcW w:w="69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100.00%</w:t>
            </w:r>
          </w:p>
        </w:tc>
        <w:tc>
          <w:tcPr>
            <w:tcW w:w="889"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81149</w:t>
            </w:r>
          </w:p>
        </w:tc>
        <w:tc>
          <w:tcPr>
            <w:tcW w:w="737"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sz w:val="20"/>
                <w:szCs w:val="20"/>
              </w:rPr>
            </w:pPr>
            <w:r>
              <w:rPr>
                <w:rFonts w:hint="eastAsia"/>
                <w:sz w:val="20"/>
                <w:szCs w:val="20"/>
              </w:rPr>
              <w:t>100.00%</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（三）</w:t>
      </w:r>
      <w:r>
        <w:rPr>
          <w:rFonts w:ascii="宋体" w:hAnsi="宋体"/>
          <w:b/>
          <w:szCs w:val="21"/>
        </w:rPr>
        <w:t>、用人单位需求情况</w:t>
      </w:r>
    </w:p>
    <w:p>
      <w:pPr>
        <w:adjustRightInd w:val="0"/>
        <w:snapToGrid w:val="0"/>
        <w:spacing w:line="360" w:lineRule="auto"/>
        <w:ind w:firstLine="420" w:firstLineChars="200"/>
        <w:rPr>
          <w:rFonts w:ascii="宋体" w:hAnsi="宋体"/>
          <w:color w:val="FF0000"/>
          <w:szCs w:val="21"/>
        </w:rPr>
      </w:pPr>
      <w:r>
        <w:rPr>
          <w:rFonts w:hint="eastAsia" w:ascii="宋体" w:hAnsi="Verdana" w:cs="宋体"/>
          <w:kern w:val="0"/>
          <w:szCs w:val="21"/>
        </w:rPr>
        <w:t>按不同的经济类型单位需求情况看，本季度企业需求人数为39998人。事业、机关、其他类型，需求量很少。说明这几种经济类型的人员流动变化很小。企业中需求人数所占比重最多的是内资企业，共37094人，占企业总数的92.74%，个体经营为304人，占0.76%。内资企业中所占所有企业需求的比重从大到小分别是有限责任公司43.96%，股份有限公司12.66%，私营企业13.17%。</w:t>
      </w:r>
    </w:p>
    <w:p>
      <w:pPr>
        <w:widowControl/>
        <w:adjustRightInd w:val="0"/>
        <w:snapToGrid w:val="0"/>
        <w:spacing w:beforeAutospacing="1" w:afterAutospacing="1" w:line="360" w:lineRule="auto"/>
        <w:jc w:val="center"/>
        <w:rPr>
          <w:rFonts w:ascii="宋体" w:hAnsi="宋体" w:cs="宋体"/>
          <w:kern w:val="0"/>
          <w:sz w:val="22"/>
          <w:szCs w:val="22"/>
        </w:rPr>
      </w:pPr>
      <w:r>
        <w:rPr>
          <w:rFonts w:hint="eastAsia" w:ascii="宋体" w:hAnsi="宋体" w:cs="宋体"/>
          <w:kern w:val="0"/>
          <w:sz w:val="22"/>
          <w:szCs w:val="22"/>
        </w:rPr>
        <w:t>表4. 按经济类型分组的需求人数</w:t>
      </w:r>
    </w:p>
    <w:tbl>
      <w:tblPr>
        <w:tblStyle w:val="6"/>
        <w:tblW w:w="4382" w:type="pct"/>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autofit"/>
        <w:tblCellMar>
          <w:top w:w="0" w:type="dxa"/>
          <w:left w:w="0" w:type="dxa"/>
          <w:bottom w:w="0" w:type="dxa"/>
          <w:right w:w="0" w:type="dxa"/>
        </w:tblCellMar>
      </w:tblPr>
      <w:tblGrid>
        <w:gridCol w:w="2048"/>
        <w:gridCol w:w="1158"/>
        <w:gridCol w:w="1293"/>
        <w:gridCol w:w="1413"/>
        <w:gridCol w:w="1416"/>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经济类型</w:t>
            </w:r>
          </w:p>
        </w:tc>
        <w:tc>
          <w:tcPr>
            <w:tcW w:w="790"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szCs w:val="21"/>
              </w:rPr>
            </w:pPr>
            <w:r>
              <w:rPr>
                <w:rFonts w:hint="eastAsia"/>
                <w:szCs w:val="21"/>
              </w:rPr>
              <w:t>本季度</w:t>
            </w:r>
          </w:p>
          <w:p>
            <w:pPr>
              <w:spacing w:line="360" w:lineRule="auto"/>
              <w:jc w:val="center"/>
              <w:rPr>
                <w:rFonts w:ascii="宋体" w:hAnsi="宋体" w:cs="宋体"/>
                <w:szCs w:val="21"/>
              </w:rPr>
            </w:pPr>
            <w:r>
              <w:rPr>
                <w:rFonts w:hint="eastAsia"/>
                <w:szCs w:val="21"/>
              </w:rPr>
              <w:t>需求人数 (人)</w:t>
            </w:r>
          </w:p>
        </w:tc>
        <w:tc>
          <w:tcPr>
            <w:tcW w:w="882"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ascii="宋体" w:hAnsi="宋体" w:cs="宋体"/>
                <w:szCs w:val="21"/>
              </w:rPr>
            </w:pPr>
            <w:r>
              <w:rPr>
                <w:rFonts w:hint="eastAsia"/>
                <w:szCs w:val="21"/>
              </w:rPr>
              <w:t>本季度需求所占比重 (%)</w:t>
            </w:r>
          </w:p>
        </w:tc>
        <w:tc>
          <w:tcPr>
            <w:tcW w:w="964" w:type="pct"/>
            <w:tcBorders>
              <w:top w:val="single" w:color="000000" w:sz="8" w:space="0"/>
              <w:left w:val="single" w:color="000000" w:sz="8" w:space="0"/>
              <w:bottom w:val="single" w:color="000000" w:sz="8" w:space="0"/>
              <w:right w:val="single" w:color="000000" w:sz="8" w:space="0"/>
            </w:tcBorders>
            <w:shd w:val="clear" w:color="auto" w:fill="FFFF99"/>
            <w:vAlign w:val="center"/>
          </w:tcPr>
          <w:p>
            <w:pPr>
              <w:jc w:val="center"/>
              <w:rPr>
                <w:rFonts w:ascii="宋体" w:hAnsi="宋体" w:cs="宋体"/>
                <w:szCs w:val="21"/>
              </w:rPr>
            </w:pPr>
            <w:r>
              <w:rPr>
                <w:rFonts w:hint="eastAsia"/>
                <w:szCs w:val="21"/>
              </w:rPr>
              <w:t>上半年累计需求人数（人）</w:t>
            </w:r>
          </w:p>
        </w:tc>
        <w:tc>
          <w:tcPr>
            <w:tcW w:w="966" w:type="pct"/>
            <w:tcBorders>
              <w:top w:val="single" w:color="000000" w:sz="8" w:space="0"/>
              <w:left w:val="single" w:color="000000" w:sz="8" w:space="0"/>
              <w:bottom w:val="single" w:color="000000" w:sz="8" w:space="0"/>
              <w:right w:val="single" w:color="000000" w:sz="8" w:space="0"/>
            </w:tcBorders>
            <w:shd w:val="clear" w:color="auto" w:fill="FFFF99"/>
            <w:vAlign w:val="center"/>
          </w:tcPr>
          <w:p>
            <w:pPr>
              <w:jc w:val="center"/>
              <w:rPr>
                <w:szCs w:val="21"/>
              </w:rPr>
            </w:pPr>
            <w:r>
              <w:rPr>
                <w:rFonts w:hint="eastAsia"/>
                <w:szCs w:val="21"/>
              </w:rPr>
              <w:t>上半年累计</w:t>
            </w:r>
          </w:p>
          <w:p>
            <w:pPr>
              <w:jc w:val="center"/>
              <w:rPr>
                <w:rFonts w:ascii="宋体" w:hAnsi="宋体" w:cs="宋体"/>
                <w:szCs w:val="21"/>
              </w:rPr>
            </w:pPr>
            <w:r>
              <w:rPr>
                <w:rFonts w:hint="eastAsia"/>
                <w:szCs w:val="21"/>
              </w:rPr>
              <w:t>需求所占比重（%）</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39998</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100.00%</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80014</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98.60%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其中：内资企业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37094</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92.74%</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74280</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91.54%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国有企业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819</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2.05%</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1678</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2.07%</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集体企业</w:t>
            </w:r>
          </w:p>
        </w:tc>
        <w:tc>
          <w:tcPr>
            <w:tcW w:w="790"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210</w:t>
            </w:r>
          </w:p>
        </w:tc>
        <w:tc>
          <w:tcPr>
            <w:tcW w:w="882"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0.53%</w:t>
            </w:r>
          </w:p>
        </w:tc>
        <w:tc>
          <w:tcPr>
            <w:tcW w:w="964"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389</w:t>
            </w:r>
          </w:p>
        </w:tc>
        <w:tc>
          <w:tcPr>
            <w:tcW w:w="966"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0.48%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股份合作企业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3323</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8.31%</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6577</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8.10%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联营企业</w:t>
            </w:r>
          </w:p>
        </w:tc>
        <w:tc>
          <w:tcPr>
            <w:tcW w:w="790"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576</w:t>
            </w:r>
          </w:p>
        </w:tc>
        <w:tc>
          <w:tcPr>
            <w:tcW w:w="88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1.44%</w:t>
            </w:r>
          </w:p>
        </w:tc>
        <w:tc>
          <w:tcPr>
            <w:tcW w:w="964"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880</w:t>
            </w:r>
          </w:p>
        </w:tc>
        <w:tc>
          <w:tcPr>
            <w:tcW w:w="966"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1.08%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有限责任公司</w:t>
            </w:r>
          </w:p>
        </w:tc>
        <w:tc>
          <w:tcPr>
            <w:tcW w:w="790"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17584</w:t>
            </w:r>
          </w:p>
        </w:tc>
        <w:tc>
          <w:tcPr>
            <w:tcW w:w="88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43.96%</w:t>
            </w:r>
          </w:p>
        </w:tc>
        <w:tc>
          <w:tcPr>
            <w:tcW w:w="964"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35739</w:t>
            </w:r>
          </w:p>
        </w:tc>
        <w:tc>
          <w:tcPr>
            <w:tcW w:w="966"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44.04%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股份有限公司</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5063</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12.66%</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10160</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12.52%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私营企业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5268</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13.17%</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11803</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14.54%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其它企业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4251</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10.63%</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7054</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8.69%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      港、澳、台投资企业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1367</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3.42%</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2487</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3.06%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外商投资企业</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1233</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3.08%</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2797</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3.45%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660"/>
              <w:jc w:val="center"/>
              <w:rPr>
                <w:rFonts w:ascii="宋体" w:hAnsi="宋体" w:cs="宋体"/>
                <w:kern w:val="0"/>
                <w:szCs w:val="21"/>
              </w:rPr>
            </w:pPr>
            <w:r>
              <w:rPr>
                <w:rFonts w:hint="eastAsia" w:ascii="宋体" w:hAnsi="宋体" w:cs="宋体"/>
                <w:kern w:val="0"/>
                <w:szCs w:val="22"/>
              </w:rPr>
              <w:t>个体经营</w:t>
            </w:r>
          </w:p>
        </w:tc>
        <w:tc>
          <w:tcPr>
            <w:tcW w:w="790"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304</w:t>
            </w:r>
          </w:p>
        </w:tc>
        <w:tc>
          <w:tcPr>
            <w:tcW w:w="882"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0.76%</w:t>
            </w:r>
          </w:p>
        </w:tc>
        <w:tc>
          <w:tcPr>
            <w:tcW w:w="964"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450</w:t>
            </w:r>
          </w:p>
        </w:tc>
        <w:tc>
          <w:tcPr>
            <w:tcW w:w="966"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0.55%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事业</w:t>
            </w:r>
          </w:p>
        </w:tc>
        <w:tc>
          <w:tcPr>
            <w:tcW w:w="790"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w:t>
            </w:r>
          </w:p>
        </w:tc>
        <w:tc>
          <w:tcPr>
            <w:tcW w:w="882"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0.00%</w:t>
            </w:r>
          </w:p>
        </w:tc>
        <w:tc>
          <w:tcPr>
            <w:tcW w:w="964"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1003</w:t>
            </w:r>
          </w:p>
        </w:tc>
        <w:tc>
          <w:tcPr>
            <w:tcW w:w="966" w:type="pct"/>
            <w:tcBorders>
              <w:top w:val="single" w:color="auto"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1.24%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机关</w:t>
            </w:r>
          </w:p>
        </w:tc>
        <w:tc>
          <w:tcPr>
            <w:tcW w:w="790"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w:t>
            </w:r>
          </w:p>
        </w:tc>
        <w:tc>
          <w:tcPr>
            <w:tcW w:w="882"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0.00%</w:t>
            </w:r>
          </w:p>
        </w:tc>
        <w:tc>
          <w:tcPr>
            <w:tcW w:w="964"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132</w:t>
            </w:r>
          </w:p>
        </w:tc>
        <w:tc>
          <w:tcPr>
            <w:tcW w:w="966" w:type="pct"/>
            <w:tcBorders>
              <w:top w:val="single" w:color="000000" w:sz="8" w:space="0"/>
              <w:left w:val="single" w:color="000000" w:sz="8" w:space="0"/>
              <w:bottom w:val="single" w:color="auto"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0.16%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其他</w:t>
            </w:r>
          </w:p>
        </w:tc>
        <w:tc>
          <w:tcPr>
            <w:tcW w:w="790"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w:t>
            </w:r>
          </w:p>
        </w:tc>
        <w:tc>
          <w:tcPr>
            <w:tcW w:w="882"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0.00%</w:t>
            </w:r>
          </w:p>
        </w:tc>
        <w:tc>
          <w:tcPr>
            <w:tcW w:w="964"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w:t>
            </w:r>
          </w:p>
        </w:tc>
        <w:tc>
          <w:tcPr>
            <w:tcW w:w="966" w:type="pct"/>
            <w:tcBorders>
              <w:top w:val="single" w:color="000000" w:sz="8" w:space="0"/>
              <w:left w:val="single" w:color="000000" w:sz="8" w:space="0"/>
              <w:bottom w:val="single" w:color="000000"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1397" w:type="pct"/>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合计</w:t>
            </w:r>
          </w:p>
        </w:tc>
        <w:tc>
          <w:tcPr>
            <w:tcW w:w="790"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39998</w:t>
            </w:r>
          </w:p>
        </w:tc>
        <w:tc>
          <w:tcPr>
            <w:tcW w:w="882"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100.00%</w:t>
            </w:r>
          </w:p>
        </w:tc>
        <w:tc>
          <w:tcPr>
            <w:tcW w:w="964" w:type="pct"/>
            <w:tcBorders>
              <w:top w:val="single" w:color="000000" w:sz="8" w:space="0"/>
              <w:left w:val="single" w:color="000000" w:sz="8" w:space="0"/>
              <w:bottom w:val="single" w:color="FFFFFF"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81149</w:t>
            </w:r>
          </w:p>
        </w:tc>
        <w:tc>
          <w:tcPr>
            <w:tcW w:w="966" w:type="pct"/>
            <w:tcBorders>
              <w:top w:val="single" w:color="000000" w:sz="8" w:space="0"/>
              <w:left w:val="single" w:color="000000" w:sz="8" w:space="0"/>
              <w:bottom w:val="single" w:color="FFFFFF" w:sz="8" w:space="0"/>
              <w:right w:val="single" w:color="000000"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100.00%</w:t>
            </w:r>
          </w:p>
        </w:tc>
      </w:tr>
    </w:tbl>
    <w:p>
      <w:pPr>
        <w:adjustRightInd w:val="0"/>
        <w:snapToGrid w:val="0"/>
        <w:spacing w:line="360" w:lineRule="auto"/>
        <w:rPr>
          <w:rFonts w:ascii="宋体" w:hAnsi="宋体"/>
          <w:b/>
          <w:szCs w:val="21"/>
        </w:rPr>
      </w:pPr>
    </w:p>
    <w:p>
      <w:pPr>
        <w:adjustRightInd w:val="0"/>
        <w:snapToGrid w:val="0"/>
        <w:spacing w:line="360" w:lineRule="auto"/>
        <w:rPr>
          <w:rFonts w:ascii="宋体" w:hAnsi="宋体"/>
          <w:b/>
          <w:szCs w:val="21"/>
        </w:rPr>
      </w:pPr>
      <w:r>
        <w:rPr>
          <w:rFonts w:hint="eastAsia" w:ascii="宋体" w:hAnsi="宋体"/>
          <w:b/>
          <w:szCs w:val="21"/>
        </w:rPr>
        <w:t>（四）</w:t>
      </w:r>
      <w:r>
        <w:rPr>
          <w:rFonts w:ascii="宋体" w:hAnsi="宋体"/>
          <w:b/>
          <w:szCs w:val="21"/>
        </w:rPr>
        <w:t>、</w:t>
      </w:r>
      <w:r>
        <w:rPr>
          <w:rFonts w:hint="eastAsia" w:ascii="宋体" w:hAnsi="宋体"/>
          <w:b/>
          <w:szCs w:val="21"/>
        </w:rPr>
        <w:t>按</w:t>
      </w:r>
      <w:r>
        <w:rPr>
          <w:rFonts w:ascii="宋体" w:hAnsi="宋体"/>
          <w:b/>
          <w:szCs w:val="21"/>
        </w:rPr>
        <w:t>职业供求情况分析</w:t>
      </w:r>
    </w:p>
    <w:p>
      <w:pPr>
        <w:adjustRightInd w:val="0"/>
        <w:snapToGrid w:val="0"/>
        <w:spacing w:line="360" w:lineRule="auto"/>
        <w:ind w:firstLine="420"/>
        <w:rPr>
          <w:rFonts w:ascii="宋体" w:hAnsi="宋体"/>
          <w:szCs w:val="21"/>
        </w:rPr>
      </w:pPr>
      <w:r>
        <w:rPr>
          <w:rFonts w:hint="eastAsia" w:ascii="宋体" w:hAnsi="宋体" w:cs="宋体"/>
          <w:kern w:val="0"/>
          <w:szCs w:val="21"/>
        </w:rPr>
        <w:t>从职业供求情况来看，一线操作工需求和求职人数最多，比重均最大，超过一半，从数量上讲缺口也最大。这一情况与去年同期及上期供求情况相似，也是我市以制造业为主的产业结构的体现。</w:t>
      </w:r>
    </w:p>
    <w:p>
      <w:pPr>
        <w:adjustRightInd w:val="0"/>
        <w:snapToGrid w:val="0"/>
        <w:spacing w:line="360" w:lineRule="auto"/>
        <w:jc w:val="center"/>
        <w:rPr>
          <w:rFonts w:ascii="宋体" w:hAnsi="宋体"/>
          <w:szCs w:val="21"/>
        </w:rPr>
      </w:pPr>
      <w:r>
        <w:rPr>
          <w:rFonts w:hint="eastAsia" w:ascii="宋体" w:hAnsi="宋体"/>
          <w:szCs w:val="21"/>
        </w:rPr>
        <w:t xml:space="preserve">表5. </w:t>
      </w:r>
      <w:r>
        <w:rPr>
          <w:rFonts w:ascii="宋体" w:hAnsi="宋体"/>
          <w:szCs w:val="21"/>
        </w:rPr>
        <w:t>按职业分组的供求人数</w:t>
      </w:r>
    </w:p>
    <w:tbl>
      <w:tblPr>
        <w:tblStyle w:val="6"/>
        <w:tblW w:w="4068" w:type="pct"/>
        <w:tblInd w:w="0" w:type="dxa"/>
        <w:tblLayout w:type="autofit"/>
        <w:tblCellMar>
          <w:top w:w="0" w:type="dxa"/>
          <w:left w:w="0" w:type="dxa"/>
          <w:bottom w:w="0" w:type="dxa"/>
          <w:right w:w="0" w:type="dxa"/>
        </w:tblCellMar>
      </w:tblPr>
      <w:tblGrid>
        <w:gridCol w:w="2115"/>
        <w:gridCol w:w="884"/>
        <w:gridCol w:w="960"/>
        <w:gridCol w:w="885"/>
        <w:gridCol w:w="960"/>
        <w:gridCol w:w="1129"/>
      </w:tblGrid>
      <w:tr>
        <w:tblPrEx>
          <w:tblCellMar>
            <w:top w:w="0" w:type="dxa"/>
            <w:left w:w="0" w:type="dxa"/>
            <w:bottom w:w="0" w:type="dxa"/>
            <w:right w:w="0" w:type="dxa"/>
          </w:tblCellMar>
        </w:tblPrEx>
        <w:trPr>
          <w:cantSplit/>
          <w:trHeight w:val="397" w:hRule="atLeast"/>
        </w:trPr>
        <w:tc>
          <w:tcPr>
            <w:tcW w:w="1526" w:type="pct"/>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1"/>
              </w:rPr>
              <w:t>职业类别</w:t>
            </w:r>
          </w:p>
        </w:tc>
        <w:tc>
          <w:tcPr>
            <w:tcW w:w="3474" w:type="pct"/>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1"/>
              </w:rPr>
              <w:t>劳动力供求人数比较</w:t>
            </w:r>
          </w:p>
        </w:tc>
      </w:tr>
      <w:tr>
        <w:tblPrEx>
          <w:tblCellMar>
            <w:top w:w="0" w:type="dxa"/>
            <w:left w:w="0" w:type="dxa"/>
            <w:bottom w:w="0" w:type="dxa"/>
            <w:right w:w="0" w:type="dxa"/>
          </w:tblCellMar>
        </w:tblPrEx>
        <w:trPr>
          <w:cantSplit/>
          <w:trHeight w:val="397" w:hRule="atLeast"/>
        </w:trPr>
        <w:tc>
          <w:tcPr>
            <w:tcW w:w="1526" w:type="pct"/>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rPr>
                <w:rFonts w:ascii="Verdana" w:hAnsi="Verdana" w:cs="宋体"/>
                <w:kern w:val="0"/>
                <w:szCs w:val="21"/>
              </w:rPr>
            </w:pPr>
          </w:p>
        </w:tc>
        <w:tc>
          <w:tcPr>
            <w:tcW w:w="63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需求人数（人）</w:t>
            </w:r>
          </w:p>
        </w:tc>
        <w:tc>
          <w:tcPr>
            <w:tcW w:w="69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需求比重  （%）</w:t>
            </w:r>
          </w:p>
        </w:tc>
        <w:tc>
          <w:tcPr>
            <w:tcW w:w="63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求职人数  （人）</w:t>
            </w:r>
          </w:p>
        </w:tc>
        <w:tc>
          <w:tcPr>
            <w:tcW w:w="69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求职比重  （%）</w:t>
            </w:r>
          </w:p>
        </w:tc>
        <w:tc>
          <w:tcPr>
            <w:tcW w:w="81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求人倍率</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单位负责人</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251</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0.63%</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186</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0.57%</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1.35</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专业技术人员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2866</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7.17%</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2517</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7.65%</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1.14</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办事人员和有关人员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2174</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5.44%</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2086</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6.34%</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1.04</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商业和服务业人员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5496</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13.74%</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3423</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10.40%</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1.61</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18"/>
                <w:szCs w:val="18"/>
              </w:rPr>
            </w:pPr>
            <w:r>
              <w:rPr>
                <w:rFonts w:hint="eastAsia" w:ascii="仿宋_GB2312" w:hAnsi="Verdana" w:cs="宋体"/>
                <w:kern w:val="0"/>
                <w:sz w:val="18"/>
                <w:szCs w:val="18"/>
              </w:rPr>
              <w:t>农林牧渔水利生产人员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0.00%</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0.00%</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生产运输设备操作工</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23583</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58.96%</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18427</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55.98%</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1.28</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其他</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5628</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14.07%</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6279</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19.07%</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0.90</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无要求</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0.00%</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0.00%</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r>
      <w:tr>
        <w:tblPrEx>
          <w:tblCellMar>
            <w:top w:w="0" w:type="dxa"/>
            <w:left w:w="0" w:type="dxa"/>
            <w:bottom w:w="0" w:type="dxa"/>
            <w:right w:w="0" w:type="dxa"/>
          </w:tblCellMar>
        </w:tblPrEx>
        <w:trPr>
          <w:trHeight w:val="630" w:hRule="atLeast"/>
        </w:trPr>
        <w:tc>
          <w:tcPr>
            <w:tcW w:w="1526"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合计</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39998</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100.00%</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32918</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100.00%</w:t>
            </w:r>
          </w:p>
        </w:tc>
        <w:tc>
          <w:tcPr>
            <w:tcW w:w="813"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1.22</w:t>
            </w:r>
          </w:p>
        </w:tc>
      </w:tr>
    </w:tbl>
    <w:p>
      <w:pPr>
        <w:adjustRightInd w:val="0"/>
        <w:snapToGrid w:val="0"/>
        <w:spacing w:line="360" w:lineRule="auto"/>
        <w:jc w:val="center"/>
        <w:rPr>
          <w:rFonts w:ascii="宋体" w:hAnsi="宋体"/>
          <w:color w:val="FF0000"/>
          <w:szCs w:val="21"/>
        </w:rPr>
      </w:pPr>
    </w:p>
    <w:tbl>
      <w:tblPr>
        <w:tblStyle w:val="6"/>
        <w:tblW w:w="9673" w:type="dxa"/>
        <w:tblInd w:w="93" w:type="dxa"/>
        <w:tblLayout w:type="autofit"/>
        <w:tblCellMar>
          <w:top w:w="0" w:type="dxa"/>
          <w:left w:w="108" w:type="dxa"/>
          <w:bottom w:w="0" w:type="dxa"/>
          <w:right w:w="108" w:type="dxa"/>
        </w:tblCellMar>
      </w:tblPr>
      <w:tblGrid>
        <w:gridCol w:w="9690"/>
      </w:tblGrid>
      <w:tr>
        <w:tblPrEx>
          <w:tblCellMar>
            <w:top w:w="0" w:type="dxa"/>
            <w:left w:w="108" w:type="dxa"/>
            <w:bottom w:w="0" w:type="dxa"/>
            <w:right w:w="108" w:type="dxa"/>
          </w:tblCellMar>
        </w:tblPrEx>
        <w:trPr>
          <w:trHeight w:val="855" w:hRule="atLeast"/>
        </w:trPr>
        <w:tc>
          <w:tcPr>
            <w:tcW w:w="9673" w:type="dxa"/>
            <w:tcBorders>
              <w:top w:val="nil"/>
              <w:left w:val="nil"/>
              <w:bottom w:val="nil"/>
              <w:right w:val="nil"/>
            </w:tcBorders>
            <w:shd w:val="clear" w:color="auto" w:fill="auto"/>
            <w:vAlign w:val="center"/>
          </w:tcPr>
          <w:p>
            <w:pPr>
              <w:widowControl/>
              <w:spacing w:line="360" w:lineRule="auto"/>
              <w:ind w:right="252" w:rightChars="120"/>
              <w:jc w:val="center"/>
              <w:rPr>
                <w:rFonts w:ascii="宋体" w:hAnsi="宋体"/>
                <w:szCs w:val="21"/>
              </w:rPr>
            </w:pPr>
            <w:r>
              <w:rPr>
                <w:rFonts w:hint="eastAsia" w:ascii="宋体" w:hAnsi="宋体"/>
                <w:szCs w:val="21"/>
              </w:rPr>
              <w:t>表6 需求大于求职缺口最大的前十个职业</w:t>
            </w:r>
          </w:p>
          <w:p>
            <w:pPr>
              <w:widowControl/>
              <w:spacing w:line="360" w:lineRule="auto"/>
              <w:ind w:right="252" w:rightChars="120"/>
              <w:jc w:val="center"/>
              <w:rPr>
                <w:rFonts w:ascii="宋体" w:hAnsi="宋体"/>
                <w:color w:val="FF0000"/>
                <w:szCs w:val="21"/>
              </w:rPr>
            </w:pPr>
          </w:p>
          <w:tbl>
            <w:tblPr>
              <w:tblStyle w:val="6"/>
              <w:tblW w:w="9464" w:type="dxa"/>
              <w:tblInd w:w="0" w:type="dxa"/>
              <w:tblLayout w:type="autofit"/>
              <w:tblCellMar>
                <w:top w:w="0" w:type="dxa"/>
                <w:left w:w="108" w:type="dxa"/>
                <w:bottom w:w="0" w:type="dxa"/>
                <w:right w:w="108" w:type="dxa"/>
              </w:tblCellMar>
            </w:tblPr>
            <w:tblGrid>
              <w:gridCol w:w="458"/>
              <w:gridCol w:w="1287"/>
              <w:gridCol w:w="1134"/>
              <w:gridCol w:w="1134"/>
              <w:gridCol w:w="1418"/>
              <w:gridCol w:w="708"/>
              <w:gridCol w:w="993"/>
              <w:gridCol w:w="1134"/>
              <w:gridCol w:w="1198"/>
            </w:tblGrid>
            <w:tr>
              <w:tblPrEx>
                <w:tblCellMar>
                  <w:top w:w="0" w:type="dxa"/>
                  <w:left w:w="108" w:type="dxa"/>
                  <w:bottom w:w="0" w:type="dxa"/>
                  <w:right w:w="108" w:type="dxa"/>
                </w:tblCellMar>
              </w:tblPrEx>
              <w:trPr>
                <w:trHeight w:val="402" w:hRule="atLeast"/>
              </w:trPr>
              <w:tc>
                <w:tcPr>
                  <w:tcW w:w="1745"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425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pPr>
                  <w:r>
                    <w:rPr>
                      <w:rFonts w:hint="eastAsia" w:ascii="宋体" w:hAnsi="宋体" w:cs="宋体"/>
                      <w:b/>
                      <w:bCs/>
                      <w:kern w:val="0"/>
                      <w:sz w:val="24"/>
                    </w:rPr>
                    <w:t>劳动力供求人数比较</w:t>
                  </w:r>
                </w:p>
              </w:tc>
              <w:tc>
                <w:tcPr>
                  <w:tcW w:w="233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薪酬区间</w:t>
                  </w:r>
                </w:p>
              </w:tc>
            </w:tr>
            <w:tr>
              <w:tblPrEx>
                <w:tblCellMar>
                  <w:top w:w="0" w:type="dxa"/>
                  <w:left w:w="108" w:type="dxa"/>
                  <w:bottom w:w="0" w:type="dxa"/>
                  <w:right w:w="108" w:type="dxa"/>
                </w:tblCellMar>
              </w:tblPrEx>
              <w:trPr>
                <w:trHeight w:val="402" w:hRule="atLeast"/>
              </w:trPr>
              <w:tc>
                <w:tcPr>
                  <w:tcW w:w="174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113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1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70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99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c>
                <w:tcPr>
                  <w:tcW w:w="1134" w:type="dxa"/>
                  <w:tcBorders>
                    <w:top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最低价</w:t>
                  </w:r>
                </w:p>
              </w:tc>
              <w:tc>
                <w:tcPr>
                  <w:tcW w:w="1198" w:type="dxa"/>
                  <w:tcBorders>
                    <w:top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最高价</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车工</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6-18-01-01</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543</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298</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245</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1.82</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4000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9000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设备工程技术人员</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0"/>
                      <w:szCs w:val="20"/>
                    </w:rPr>
                  </w:pPr>
                  <w:r>
                    <w:rPr>
                      <w:rFonts w:hint="eastAsia"/>
                      <w:color w:val="000000"/>
                      <w:sz w:val="20"/>
                      <w:szCs w:val="20"/>
                    </w:rPr>
                    <w:t>2-02-07-04</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397</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174</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223</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2.28</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5000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10000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焊工</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0"/>
                      <w:szCs w:val="20"/>
                    </w:rPr>
                  </w:pPr>
                  <w:r>
                    <w:rPr>
                      <w:rFonts w:hint="eastAsia"/>
                      <w:color w:val="000000"/>
                      <w:sz w:val="20"/>
                      <w:szCs w:val="20"/>
                    </w:rPr>
                    <w:t>6-18-02-04</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328</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134</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194</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2.45</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9000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国际商务专业人员</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2-06-07-01</w:t>
                  </w:r>
                </w:p>
              </w:tc>
              <w:tc>
                <w:tcPr>
                  <w:tcW w:w="1134" w:type="dxa"/>
                  <w:tcBorders>
                    <w:top w:val="nil"/>
                    <w:left w:val="nil"/>
                    <w:bottom w:val="nil"/>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402</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251</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151</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1.60</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10000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营销员</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4-01-02-01</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354</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207</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147</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1.71</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9000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行政办事员</w:t>
                  </w:r>
                </w:p>
              </w:tc>
              <w:tc>
                <w:tcPr>
                  <w:tcW w:w="1134" w:type="dxa"/>
                  <w:tcBorders>
                    <w:top w:val="nil"/>
                    <w:left w:val="nil"/>
                    <w:bottom w:val="nil"/>
                    <w:right w:val="nil"/>
                  </w:tcBorders>
                  <w:shd w:val="clear" w:color="auto" w:fill="auto"/>
                  <w:noWrap/>
                  <w:vAlign w:val="center"/>
                </w:tcPr>
                <w:p>
                  <w:pPr>
                    <w:jc w:val="center"/>
                    <w:rPr>
                      <w:rFonts w:ascii="宋体" w:hAnsi="宋体" w:cs="宋体"/>
                      <w:color w:val="000000"/>
                      <w:sz w:val="20"/>
                      <w:szCs w:val="20"/>
                    </w:rPr>
                  </w:pPr>
                  <w:r>
                    <w:rPr>
                      <w:rFonts w:hint="eastAsia"/>
                      <w:color w:val="000000"/>
                      <w:sz w:val="20"/>
                      <w:szCs w:val="20"/>
                    </w:rPr>
                    <w:t>3-01-01-01</w:t>
                  </w:r>
                </w:p>
              </w:tc>
              <w:tc>
                <w:tcPr>
                  <w:tcW w:w="1134" w:type="dxa"/>
                  <w:tcBorders>
                    <w:top w:val="nil"/>
                    <w:left w:val="single" w:color="auto" w:sz="4" w:space="0"/>
                    <w:bottom w:val="nil"/>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333</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198</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135</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1.68</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6000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缝纫工</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0"/>
                      <w:szCs w:val="20"/>
                    </w:rPr>
                  </w:pPr>
                  <w:r>
                    <w:rPr>
                      <w:rFonts w:hint="eastAsia"/>
                      <w:color w:val="000000"/>
                      <w:sz w:val="20"/>
                      <w:szCs w:val="20"/>
                    </w:rPr>
                    <w:t>6-05-01-03</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398</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287</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111</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1.39</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2000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6000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会计专业人员</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2-06-03-00</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360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289</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71</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1.25</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4000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9000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仓储管理员</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4-02-06-01</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306</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246</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60</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1.24</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6000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12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起重装卸机械操作工</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6-30-05-01</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207</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152</w:t>
                  </w:r>
                </w:p>
              </w:tc>
              <w:tc>
                <w:tcPr>
                  <w:tcW w:w="708"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55</w:t>
                  </w:r>
                </w:p>
              </w:tc>
              <w:tc>
                <w:tcPr>
                  <w:tcW w:w="9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1.36</w:t>
                  </w:r>
                </w:p>
              </w:tc>
              <w:tc>
                <w:tcPr>
                  <w:tcW w:w="1134"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4000</w:t>
                  </w:r>
                </w:p>
              </w:tc>
              <w:tc>
                <w:tcPr>
                  <w:tcW w:w="1198"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8000</w:t>
                  </w:r>
                </w:p>
              </w:tc>
            </w:tr>
          </w:tbl>
          <w:p>
            <w:pPr>
              <w:widowControl/>
              <w:spacing w:line="360" w:lineRule="auto"/>
              <w:ind w:right="252" w:rightChars="120"/>
              <w:jc w:val="center"/>
              <w:rPr>
                <w:rFonts w:ascii="宋体" w:hAnsi="宋体" w:cs="宋体"/>
                <w:b/>
                <w:bCs/>
                <w:color w:val="FF0000"/>
                <w:kern w:val="0"/>
                <w:sz w:val="30"/>
                <w:szCs w:val="30"/>
              </w:rPr>
            </w:pPr>
          </w:p>
        </w:tc>
      </w:tr>
    </w:tbl>
    <w:p>
      <w:pPr>
        <w:widowControl/>
        <w:spacing w:before="100" w:beforeAutospacing="1" w:after="100" w:afterAutospacing="1" w:line="360" w:lineRule="auto"/>
        <w:ind w:firstLine="420" w:firstLineChars="200"/>
        <w:jc w:val="left"/>
        <w:rPr>
          <w:rFonts w:ascii="宋体" w:hAnsi="宋体" w:cs="宋体"/>
          <w:kern w:val="0"/>
          <w:szCs w:val="21"/>
        </w:rPr>
      </w:pPr>
      <w:r>
        <w:rPr>
          <w:rFonts w:hint="eastAsia" w:ascii="宋体" w:hAnsi="宋体" w:cs="宋体"/>
          <w:kern w:val="0"/>
          <w:szCs w:val="21"/>
        </w:rPr>
        <w:t>从表6反映出，本季度需求缺口排名前三位的是：车工、设备工程技术人员、焊工，与去年同期及上期情况基本一致，说明这些工种需求量较大，亦与我市产业结构的分布吻合，车工、焊工、裁剪缝纫工、设备工程技术人员等工种依旧占我市人力资源市场需求的主体位置。</w:t>
      </w:r>
    </w:p>
    <w:p>
      <w:pPr>
        <w:adjustRightInd w:val="0"/>
        <w:snapToGrid w:val="0"/>
        <w:spacing w:line="360" w:lineRule="auto"/>
        <w:jc w:val="center"/>
        <w:rPr>
          <w:rFonts w:ascii="宋体" w:hAnsi="宋体"/>
          <w:szCs w:val="21"/>
        </w:rPr>
      </w:pPr>
      <w:r>
        <w:rPr>
          <w:rFonts w:hint="eastAsia" w:ascii="宋体" w:hAnsi="宋体"/>
          <w:szCs w:val="21"/>
        </w:rPr>
        <w:t>表</w:t>
      </w:r>
      <w:r>
        <w:rPr>
          <w:rFonts w:ascii="宋体" w:hAnsi="宋体"/>
          <w:szCs w:val="21"/>
        </w:rPr>
        <w:t>7</w:t>
      </w:r>
      <w:r>
        <w:rPr>
          <w:rFonts w:hint="eastAsia" w:ascii="宋体" w:hAnsi="宋体"/>
          <w:szCs w:val="21"/>
        </w:rPr>
        <w:t>：需求小于求职缺口最大的十个职业</w:t>
      </w:r>
    </w:p>
    <w:tbl>
      <w:tblPr>
        <w:tblStyle w:val="6"/>
        <w:tblW w:w="9464" w:type="dxa"/>
        <w:tblInd w:w="0" w:type="dxa"/>
        <w:tblLayout w:type="autofit"/>
        <w:tblCellMar>
          <w:top w:w="0" w:type="dxa"/>
          <w:left w:w="108" w:type="dxa"/>
          <w:bottom w:w="0" w:type="dxa"/>
          <w:right w:w="108" w:type="dxa"/>
        </w:tblCellMar>
      </w:tblPr>
      <w:tblGrid>
        <w:gridCol w:w="458"/>
        <w:gridCol w:w="1493"/>
        <w:gridCol w:w="1276"/>
        <w:gridCol w:w="850"/>
        <w:gridCol w:w="851"/>
        <w:gridCol w:w="1134"/>
        <w:gridCol w:w="850"/>
        <w:gridCol w:w="1455"/>
        <w:gridCol w:w="1097"/>
      </w:tblGrid>
      <w:tr>
        <w:tblPrEx>
          <w:tblCellMar>
            <w:top w:w="0" w:type="dxa"/>
            <w:left w:w="108" w:type="dxa"/>
            <w:bottom w:w="0" w:type="dxa"/>
            <w:right w:w="108" w:type="dxa"/>
          </w:tblCellMar>
        </w:tblPrEx>
        <w:trPr>
          <w:trHeight w:val="402" w:hRule="atLeast"/>
        </w:trPr>
        <w:tc>
          <w:tcPr>
            <w:tcW w:w="1951"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3685"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pPr>
            <w:r>
              <w:rPr>
                <w:rFonts w:hint="eastAsia" w:ascii="宋体" w:hAnsi="宋体" w:cs="宋体"/>
                <w:b/>
                <w:bCs/>
                <w:kern w:val="0"/>
                <w:sz w:val="24"/>
              </w:rPr>
              <w:t>劳动力供求人数比较</w:t>
            </w:r>
          </w:p>
        </w:tc>
        <w:tc>
          <w:tcPr>
            <w:tcW w:w="255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薪酬区间</w:t>
            </w:r>
          </w:p>
        </w:tc>
      </w:tr>
      <w:tr>
        <w:tblPrEx>
          <w:tblCellMar>
            <w:top w:w="0" w:type="dxa"/>
            <w:left w:w="108" w:type="dxa"/>
            <w:bottom w:w="0" w:type="dxa"/>
            <w:right w:w="108" w:type="dxa"/>
          </w:tblCellMar>
        </w:tblPrEx>
        <w:trPr>
          <w:trHeight w:val="402" w:hRule="atLeast"/>
        </w:trPr>
        <w:tc>
          <w:tcPr>
            <w:tcW w:w="195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850"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3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850"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c>
          <w:tcPr>
            <w:tcW w:w="1455" w:type="dxa"/>
            <w:tcBorders>
              <w:top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最低价</w:t>
            </w:r>
          </w:p>
        </w:tc>
        <w:tc>
          <w:tcPr>
            <w:tcW w:w="1097" w:type="dxa"/>
            <w:tcBorders>
              <w:top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最高价</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物业管理员</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4-06-01-01</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25</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38</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-13</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0.66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5000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采购员</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4-01-01-01</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18</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76</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-58</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0.24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7000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8000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证券交易员</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4-05-02-01</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18</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28</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-10</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0.64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4000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10000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计算机网络工程技术人员</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2-02-10-04</w:t>
            </w:r>
          </w:p>
        </w:tc>
        <w:tc>
          <w:tcPr>
            <w:tcW w:w="850" w:type="dxa"/>
            <w:tcBorders>
              <w:top w:val="nil"/>
              <w:left w:val="nil"/>
              <w:bottom w:val="nil"/>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21</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27</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-6</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0.78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5000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10000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动画制作员</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4-13-02-02</w:t>
            </w:r>
          </w:p>
        </w:tc>
        <w:tc>
          <w:tcPr>
            <w:tcW w:w="85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24</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65</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-41</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0.37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8000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公关员</w:t>
            </w:r>
          </w:p>
        </w:tc>
        <w:tc>
          <w:tcPr>
            <w:tcW w:w="1276" w:type="dxa"/>
            <w:tcBorders>
              <w:top w:val="nil"/>
              <w:left w:val="nil"/>
              <w:bottom w:val="nil"/>
              <w:right w:val="nil"/>
            </w:tcBorders>
            <w:shd w:val="clear" w:color="auto" w:fill="auto"/>
            <w:noWrap/>
            <w:vAlign w:val="center"/>
          </w:tcPr>
          <w:p>
            <w:pPr>
              <w:jc w:val="center"/>
              <w:rPr>
                <w:rFonts w:ascii="宋体" w:hAnsi="宋体" w:cs="宋体"/>
                <w:sz w:val="20"/>
                <w:szCs w:val="20"/>
              </w:rPr>
            </w:pPr>
            <w:r>
              <w:rPr>
                <w:rFonts w:hint="eastAsia"/>
                <w:sz w:val="20"/>
                <w:szCs w:val="20"/>
              </w:rPr>
              <w:t>3-01-02-03</w:t>
            </w:r>
          </w:p>
        </w:tc>
        <w:tc>
          <w:tcPr>
            <w:tcW w:w="850" w:type="dxa"/>
            <w:tcBorders>
              <w:top w:val="nil"/>
              <w:left w:val="single" w:color="auto" w:sz="4" w:space="0"/>
              <w:bottom w:val="nil"/>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15</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54</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-39</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0.28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4000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8000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经济规划专业人员</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2-06-01-01</w:t>
            </w:r>
          </w:p>
        </w:tc>
        <w:tc>
          <w:tcPr>
            <w:tcW w:w="85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16</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45</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-29</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0.36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10000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14000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律师</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2-07-03-00</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8</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36</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-28</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0.22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3000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10000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数字媒体艺术专业人员</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2-09-06-07</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5</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-15</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0.25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4000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10000</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14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动画设计人员</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2-09-06-03</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16</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28</w:t>
            </w:r>
          </w:p>
        </w:tc>
        <w:tc>
          <w:tcPr>
            <w:tcW w:w="1134"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-12</w:t>
            </w:r>
          </w:p>
        </w:tc>
        <w:tc>
          <w:tcPr>
            <w:tcW w:w="85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0"/>
                <w:szCs w:val="20"/>
              </w:rPr>
            </w:pPr>
            <w:r>
              <w:rPr>
                <w:rFonts w:hint="eastAsia"/>
                <w:sz w:val="20"/>
                <w:szCs w:val="20"/>
              </w:rPr>
              <w:t xml:space="preserve">0.57 </w:t>
            </w:r>
          </w:p>
        </w:tc>
        <w:tc>
          <w:tcPr>
            <w:tcW w:w="1455"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4000</w:t>
            </w:r>
          </w:p>
        </w:tc>
        <w:tc>
          <w:tcPr>
            <w:tcW w:w="1097" w:type="dxa"/>
            <w:tcBorders>
              <w:top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6000</w:t>
            </w:r>
          </w:p>
        </w:tc>
      </w:tr>
    </w:tbl>
    <w:p>
      <w:pPr>
        <w:adjustRightInd w:val="0"/>
        <w:snapToGrid w:val="0"/>
        <w:spacing w:line="360" w:lineRule="auto"/>
        <w:jc w:val="center"/>
        <w:rPr>
          <w:rFonts w:ascii="宋体" w:hAnsi="宋体"/>
          <w:szCs w:val="21"/>
        </w:rPr>
      </w:pPr>
    </w:p>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（五）</w:t>
      </w:r>
      <w:r>
        <w:rPr>
          <w:rFonts w:ascii="宋体" w:hAnsi="宋体"/>
          <w:b/>
          <w:szCs w:val="21"/>
        </w:rPr>
        <w:t>、求职人员分类</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根据求职人员类别分析，本季度中列前三位的求职者分别是外埠人员36.99%，本市农村人员23.32%，</w:t>
      </w:r>
      <w:r>
        <w:rPr>
          <w:rFonts w:hint="eastAsia" w:ascii="仿宋_GB2312" w:hAnsi="Verdana" w:cs="宋体"/>
          <w:kern w:val="0"/>
          <w:szCs w:val="22"/>
        </w:rPr>
        <w:t>就业转失业人员</w:t>
      </w:r>
      <w:r>
        <w:rPr>
          <w:rFonts w:hint="eastAsia" w:ascii="宋体" w:hAnsi="宋体" w:cs="宋体"/>
          <w:kern w:val="0"/>
          <w:szCs w:val="21"/>
        </w:rPr>
        <w:t>13.40%。应届高校毕业生在新成长失业青年中所占比例为16.36%。这一情况与去年同期是一致的。说明求职者中，外来劳动力和本市农村人员一直占求职者的主体。</w:t>
      </w:r>
    </w:p>
    <w:p>
      <w:pPr>
        <w:adjustRightInd w:val="0"/>
        <w:snapToGrid w:val="0"/>
        <w:spacing w:line="360" w:lineRule="auto"/>
        <w:jc w:val="center"/>
        <w:rPr>
          <w:rFonts w:ascii="宋体" w:hAnsi="宋体"/>
          <w:szCs w:val="21"/>
        </w:rPr>
      </w:pPr>
      <w:r>
        <w:rPr>
          <w:rFonts w:hint="eastAsia" w:ascii="宋体" w:hAnsi="宋体"/>
          <w:szCs w:val="21"/>
        </w:rPr>
        <w:t xml:space="preserve">表8 </w:t>
      </w:r>
      <w:r>
        <w:rPr>
          <w:rFonts w:ascii="宋体" w:hAnsi="宋体"/>
          <w:szCs w:val="21"/>
        </w:rPr>
        <w:t>按求职人员类别分组的求职人数</w:t>
      </w:r>
    </w:p>
    <w:tbl>
      <w:tblPr>
        <w:tblStyle w:val="6"/>
        <w:tblW w:w="4768" w:type="pct"/>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1669"/>
        <w:gridCol w:w="1436"/>
        <w:gridCol w:w="1488"/>
        <w:gridCol w:w="1679"/>
        <w:gridCol w:w="1701"/>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求职人员类别</w:t>
            </w:r>
          </w:p>
        </w:tc>
        <w:tc>
          <w:tcPr>
            <w:tcW w:w="1436"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求职人数(人)</w:t>
            </w:r>
          </w:p>
        </w:tc>
        <w:tc>
          <w:tcPr>
            <w:tcW w:w="1488"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所占比重(%)</w:t>
            </w:r>
          </w:p>
        </w:tc>
        <w:tc>
          <w:tcPr>
            <w:tcW w:w="1679" w:type="dxa"/>
            <w:tcBorders>
              <w:top w:val="single" w:color="auto" w:sz="8" w:space="0"/>
              <w:left w:val="single" w:color="auto" w:sz="8" w:space="0"/>
              <w:bottom w:val="single" w:color="auto" w:sz="8" w:space="0"/>
              <w:right w:val="single" w:color="auto" w:sz="8" w:space="0"/>
            </w:tcBorders>
            <w:shd w:val="clear" w:color="auto" w:fill="FFFF99"/>
            <w:vAlign w:val="center"/>
          </w:tcPr>
          <w:p>
            <w:pPr>
              <w:widowControl/>
              <w:jc w:val="center"/>
              <w:rPr>
                <w:rFonts w:ascii="宋体" w:hAnsi="宋体" w:cs="宋体"/>
                <w:kern w:val="0"/>
                <w:szCs w:val="21"/>
              </w:rPr>
            </w:pPr>
            <w:r>
              <w:rPr>
                <w:rFonts w:hint="eastAsia" w:ascii="宋体" w:hAnsi="宋体" w:cs="宋体"/>
                <w:kern w:val="0"/>
                <w:szCs w:val="21"/>
              </w:rPr>
              <w:t>半年度累计</w:t>
            </w:r>
          </w:p>
          <w:p>
            <w:pPr>
              <w:widowControl/>
              <w:jc w:val="center"/>
              <w:rPr>
                <w:rFonts w:ascii="宋体" w:hAnsi="宋体" w:cs="宋体"/>
                <w:kern w:val="0"/>
                <w:szCs w:val="21"/>
              </w:rPr>
            </w:pPr>
            <w:r>
              <w:rPr>
                <w:rFonts w:hint="eastAsia" w:ascii="宋体" w:hAnsi="宋体" w:cs="宋体"/>
                <w:kern w:val="0"/>
                <w:szCs w:val="21"/>
              </w:rPr>
              <w:t>求职人数（人）</w:t>
            </w:r>
          </w:p>
        </w:tc>
        <w:tc>
          <w:tcPr>
            <w:tcW w:w="1701" w:type="dxa"/>
            <w:tcBorders>
              <w:top w:val="single" w:color="auto" w:sz="8" w:space="0"/>
              <w:left w:val="single" w:color="auto" w:sz="8" w:space="0"/>
              <w:bottom w:val="single" w:color="auto" w:sz="8" w:space="0"/>
              <w:right w:val="single" w:color="auto" w:sz="8" w:space="0"/>
            </w:tcBorders>
            <w:shd w:val="clear" w:color="auto" w:fill="FFFF99"/>
            <w:vAlign w:val="center"/>
          </w:tcPr>
          <w:p>
            <w:pPr>
              <w:widowControl/>
              <w:jc w:val="center"/>
              <w:rPr>
                <w:rFonts w:ascii="宋体" w:hAnsi="宋体" w:cs="宋体"/>
                <w:kern w:val="0"/>
                <w:szCs w:val="21"/>
              </w:rPr>
            </w:pPr>
            <w:r>
              <w:rPr>
                <w:rFonts w:hint="eastAsia" w:ascii="宋体" w:hAnsi="宋体" w:cs="宋体"/>
                <w:kern w:val="0"/>
                <w:szCs w:val="21"/>
              </w:rPr>
              <w:t>半年度累计</w:t>
            </w:r>
          </w:p>
          <w:p>
            <w:pPr>
              <w:widowControl/>
              <w:jc w:val="center"/>
              <w:rPr>
                <w:rFonts w:ascii="宋体" w:hAnsi="宋体" w:cs="宋体"/>
                <w:kern w:val="0"/>
                <w:szCs w:val="21"/>
              </w:rPr>
            </w:pPr>
            <w:r>
              <w:rPr>
                <w:rFonts w:hint="eastAsia" w:ascii="宋体" w:hAnsi="宋体" w:cs="宋体"/>
                <w:kern w:val="0"/>
                <w:szCs w:val="21"/>
              </w:rPr>
              <w:t>求职所占比重（%）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新成长失业青年</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5793</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17.60%</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5935</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9.01%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0"/>
              </w:rPr>
              <w:t>其中：应届高校毕业生</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5384</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16.36%</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5409</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8.21%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就业转失业人员</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4412</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13.40%</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10324</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15.67%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其他失业人员</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2071</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6.29%</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4460</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6.77%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在业人员</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789</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2.40%</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1579</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2.40%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下岗职工</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0.00%</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退休人员</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0.00%</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在学人员</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0.00%</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本市农村人员</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7676</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23.32%</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16649</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25.27%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rPr>
              <w:t>外埠人员</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12177</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36.99%</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26929</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40.88%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1669"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合计</w:t>
            </w:r>
          </w:p>
        </w:tc>
        <w:tc>
          <w:tcPr>
            <w:tcW w:w="143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32918</w:t>
            </w:r>
          </w:p>
        </w:tc>
        <w:tc>
          <w:tcPr>
            <w:tcW w:w="1488"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sz w:val="20"/>
                <w:szCs w:val="20"/>
              </w:rPr>
            </w:pPr>
            <w:r>
              <w:rPr>
                <w:rFonts w:hint="eastAsia"/>
                <w:sz w:val="20"/>
                <w:szCs w:val="20"/>
              </w:rPr>
              <w:t>100.00%</w:t>
            </w:r>
          </w:p>
        </w:tc>
        <w:tc>
          <w:tcPr>
            <w:tcW w:w="1679"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65876</w:t>
            </w:r>
          </w:p>
        </w:tc>
        <w:tc>
          <w:tcPr>
            <w:tcW w:w="1701" w:type="dxa"/>
            <w:tcBorders>
              <w:top w:val="single" w:color="auto" w:sz="8" w:space="0"/>
              <w:left w:val="single" w:color="auto" w:sz="8" w:space="0"/>
              <w:bottom w:val="single" w:color="auto" w:sz="8" w:space="0"/>
              <w:right w:val="single" w:color="auto" w:sz="8" w:space="0"/>
            </w:tcBorders>
            <w:shd w:val="clear" w:color="auto" w:fill="CCFFFF"/>
            <w:vAlign w:val="center"/>
          </w:tcPr>
          <w:p>
            <w:pPr>
              <w:jc w:val="center"/>
              <w:rPr>
                <w:rFonts w:ascii="宋体" w:hAnsi="宋体" w:cs="宋体"/>
                <w:color w:val="000000"/>
                <w:sz w:val="22"/>
                <w:szCs w:val="22"/>
              </w:rPr>
            </w:pPr>
            <w:r>
              <w:rPr>
                <w:rFonts w:hint="eastAsia"/>
                <w:color w:val="000000"/>
                <w:sz w:val="22"/>
                <w:szCs w:val="22"/>
              </w:rPr>
              <w:t>100.00%</w:t>
            </w:r>
          </w:p>
        </w:tc>
      </w:tr>
    </w:tbl>
    <w:p>
      <w:pPr>
        <w:adjustRightInd w:val="0"/>
        <w:snapToGrid w:val="0"/>
        <w:spacing w:line="360" w:lineRule="auto"/>
        <w:rPr>
          <w:rFonts w:ascii="宋体" w:hAnsi="宋体"/>
          <w:b/>
          <w:szCs w:val="21"/>
        </w:rPr>
      </w:pPr>
    </w:p>
    <w:p>
      <w:pPr>
        <w:adjustRightInd w:val="0"/>
        <w:snapToGrid w:val="0"/>
        <w:spacing w:line="360" w:lineRule="auto"/>
        <w:rPr>
          <w:rFonts w:ascii="宋体" w:hAnsi="宋体"/>
          <w:b/>
          <w:szCs w:val="21"/>
        </w:rPr>
      </w:pPr>
      <w:r>
        <w:rPr>
          <w:rFonts w:hint="eastAsia" w:ascii="宋体" w:hAnsi="宋体"/>
          <w:b/>
          <w:szCs w:val="21"/>
        </w:rPr>
        <w:t>（六）</w:t>
      </w:r>
      <w:r>
        <w:rPr>
          <w:rFonts w:ascii="宋体" w:hAnsi="宋体"/>
          <w:b/>
          <w:szCs w:val="21"/>
        </w:rPr>
        <w:t>、招聘、应聘条件分析</w:t>
      </w:r>
    </w:p>
    <w:p>
      <w:pPr>
        <w:adjustRightInd w:val="0"/>
        <w:snapToGrid w:val="0"/>
        <w:spacing w:line="360" w:lineRule="auto"/>
        <w:rPr>
          <w:rFonts w:ascii="宋体" w:hAnsi="宋体"/>
          <w:szCs w:val="21"/>
        </w:rPr>
      </w:pPr>
      <w:r>
        <w:rPr>
          <w:rFonts w:hint="eastAsia" w:ascii="宋体" w:hAnsi="宋体"/>
          <w:szCs w:val="21"/>
        </w:rPr>
        <w:t>1. 性别</w:t>
      </w:r>
    </w:p>
    <w:p>
      <w:pPr>
        <w:widowControl/>
        <w:spacing w:before="100" w:beforeAutospacing="1" w:after="100" w:afterAutospacing="1" w:line="360" w:lineRule="auto"/>
        <w:ind w:firstLine="420" w:firstLineChars="200"/>
        <w:jc w:val="left"/>
        <w:rPr>
          <w:rFonts w:ascii="宋体" w:hAnsi="宋体" w:cs="宋体"/>
          <w:kern w:val="0"/>
          <w:szCs w:val="21"/>
        </w:rPr>
      </w:pPr>
      <w:r>
        <w:rPr>
          <w:rFonts w:hint="eastAsia" w:ascii="宋体" w:hAnsi="宋体" w:cs="宋体"/>
          <w:kern w:val="0"/>
          <w:szCs w:val="21"/>
        </w:rPr>
        <w:t>按性别分类，男女求职比例基本为57：43，男性略高于女性，与我市劳动力资源性别结构相符。</w:t>
      </w:r>
    </w:p>
    <w:p>
      <w:pPr>
        <w:adjustRightInd w:val="0"/>
        <w:snapToGrid w:val="0"/>
        <w:spacing w:line="360" w:lineRule="auto"/>
        <w:jc w:val="center"/>
        <w:rPr>
          <w:rFonts w:ascii="宋体" w:hAnsi="宋体"/>
          <w:szCs w:val="21"/>
        </w:rPr>
      </w:pPr>
      <w:r>
        <w:rPr>
          <w:rFonts w:hint="eastAsia" w:ascii="宋体" w:hAnsi="宋体"/>
          <w:szCs w:val="21"/>
        </w:rPr>
        <w:t xml:space="preserve">表9 </w:t>
      </w:r>
      <w:r>
        <w:rPr>
          <w:rFonts w:ascii="宋体" w:hAnsi="宋体"/>
          <w:szCs w:val="21"/>
        </w:rPr>
        <w:t>按性别分组的供求人数</w:t>
      </w:r>
    </w:p>
    <w:tbl>
      <w:tblPr>
        <w:tblStyle w:val="6"/>
        <w:tblW w:w="8429"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99"/>
        <w:tblLayout w:type="autofit"/>
        <w:tblCellMar>
          <w:top w:w="0" w:type="dxa"/>
          <w:left w:w="0" w:type="dxa"/>
          <w:bottom w:w="0" w:type="dxa"/>
          <w:right w:w="0" w:type="dxa"/>
        </w:tblCellMar>
      </w:tblPr>
      <w:tblGrid>
        <w:gridCol w:w="685"/>
        <w:gridCol w:w="1033"/>
        <w:gridCol w:w="1006"/>
        <w:gridCol w:w="1050"/>
        <w:gridCol w:w="1094"/>
        <w:gridCol w:w="1122"/>
        <w:gridCol w:w="813"/>
        <w:gridCol w:w="813"/>
        <w:gridCol w:w="8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99"/>
          <w:tblCellMar>
            <w:top w:w="0" w:type="dxa"/>
            <w:left w:w="0" w:type="dxa"/>
            <w:bottom w:w="0" w:type="dxa"/>
            <w:right w:w="0" w:type="dxa"/>
          </w:tblCellMar>
        </w:tblPrEx>
        <w:trPr>
          <w:cantSplit/>
          <w:trHeight w:val="580" w:hRule="atLeast"/>
        </w:trPr>
        <w:tc>
          <w:tcPr>
            <w:tcW w:w="685"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性别</w:t>
            </w:r>
          </w:p>
        </w:tc>
        <w:tc>
          <w:tcPr>
            <w:tcW w:w="7744" w:type="dxa"/>
            <w:gridSpan w:val="8"/>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99"/>
          <w:tblCellMar>
            <w:top w:w="0" w:type="dxa"/>
            <w:left w:w="0" w:type="dxa"/>
            <w:bottom w:w="0" w:type="dxa"/>
            <w:right w:w="0" w:type="dxa"/>
          </w:tblCellMar>
        </w:tblPrEx>
        <w:trPr>
          <w:cantSplit/>
          <w:trHeight w:val="397" w:hRule="atLeast"/>
        </w:trPr>
        <w:tc>
          <w:tcPr>
            <w:tcW w:w="0" w:type="auto"/>
            <w:vMerge w:val="continue"/>
            <w:tcBorders>
              <w:top w:val="single" w:color="auto" w:sz="8" w:space="0"/>
              <w:left w:val="single" w:color="auto" w:sz="8" w:space="0"/>
              <w:bottom w:val="single" w:color="000000" w:sz="8" w:space="0"/>
              <w:right w:val="single" w:color="auto" w:sz="8" w:space="0"/>
            </w:tcBorders>
            <w:shd w:val="clear" w:color="auto" w:fill="FFFF99"/>
            <w:vAlign w:val="center"/>
          </w:tcPr>
          <w:p>
            <w:pPr>
              <w:widowControl/>
              <w:spacing w:line="360" w:lineRule="auto"/>
              <w:jc w:val="left"/>
              <w:rPr>
                <w:rFonts w:ascii="宋体" w:hAnsi="宋体" w:cs="宋体"/>
                <w:kern w:val="0"/>
                <w:szCs w:val="21"/>
              </w:rPr>
            </w:pPr>
          </w:p>
        </w:tc>
        <w:tc>
          <w:tcPr>
            <w:tcW w:w="103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100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105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1094"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122"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c>
          <w:tcPr>
            <w:tcW w:w="813" w:type="dxa"/>
            <w:tcBorders>
              <w:top w:val="nil"/>
              <w:left w:val="nil"/>
              <w:bottom w:val="single" w:color="auto" w:sz="8" w:space="0"/>
              <w:right w:val="single" w:color="auto"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上半年累计需求人数（人）</w:t>
            </w:r>
          </w:p>
        </w:tc>
        <w:tc>
          <w:tcPr>
            <w:tcW w:w="813" w:type="dxa"/>
            <w:tcBorders>
              <w:top w:val="nil"/>
              <w:left w:val="nil"/>
              <w:bottom w:val="single" w:color="auto" w:sz="8" w:space="0"/>
              <w:right w:val="single" w:color="auto"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上半年累计求职人数（人）</w:t>
            </w:r>
          </w:p>
        </w:tc>
        <w:tc>
          <w:tcPr>
            <w:tcW w:w="813" w:type="dxa"/>
            <w:tcBorders>
              <w:top w:val="nil"/>
              <w:left w:val="nil"/>
              <w:bottom w:val="single" w:color="auto" w:sz="8" w:space="0"/>
              <w:right w:val="single" w:color="auto"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上半年</w:t>
            </w:r>
            <w:r>
              <w:rPr>
                <w:rFonts w:hint="eastAsia" w:ascii="宋体" w:hAnsi="宋体" w:cs="宋体"/>
                <w:kern w:val="0"/>
                <w:szCs w:val="21"/>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99"/>
          <w:tblCellMar>
            <w:top w:w="0" w:type="dxa"/>
            <w:left w:w="0" w:type="dxa"/>
            <w:bottom w:w="0" w:type="dxa"/>
            <w:right w:w="0" w:type="dxa"/>
          </w:tblCellMar>
        </w:tblPrEx>
        <w:trPr>
          <w:trHeight w:val="645" w:hRule="atLeast"/>
        </w:trPr>
        <w:tc>
          <w:tcPr>
            <w:tcW w:w="685" w:type="dxa"/>
            <w:tcBorders>
              <w:top w:val="single" w:color="000000" w:sz="8" w:space="0"/>
              <w:left w:val="single" w:color="auto" w:sz="8" w:space="0"/>
              <w:bottom w:val="single" w:color="auto" w:sz="8" w:space="0"/>
              <w:right w:val="single" w:color="auto" w:sz="8" w:space="0"/>
            </w:tcBorders>
            <w:shd w:val="clear" w:color="auto" w:fill="D4E9B7"/>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男</w:t>
            </w:r>
          </w:p>
        </w:tc>
        <w:tc>
          <w:tcPr>
            <w:tcW w:w="1033"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11919</w:t>
            </w:r>
          </w:p>
        </w:tc>
        <w:tc>
          <w:tcPr>
            <w:tcW w:w="100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29.80%</w:t>
            </w:r>
          </w:p>
        </w:tc>
        <w:tc>
          <w:tcPr>
            <w:tcW w:w="105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18915</w:t>
            </w:r>
          </w:p>
        </w:tc>
        <w:tc>
          <w:tcPr>
            <w:tcW w:w="109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57.46%</w:t>
            </w:r>
          </w:p>
        </w:tc>
        <w:tc>
          <w:tcPr>
            <w:tcW w:w="1122"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spacing w:line="360" w:lineRule="auto"/>
              <w:jc w:val="center"/>
              <w:rPr>
                <w:rFonts w:ascii="宋体" w:hAnsi="宋体" w:cs="宋体"/>
                <w:szCs w:val="21"/>
              </w:rPr>
            </w:pPr>
            <w:r>
              <w:rPr>
                <w:rFonts w:hint="eastAsia" w:ascii="宋体" w:hAnsi="宋体" w:cs="宋体"/>
                <w:szCs w:val="21"/>
              </w:rPr>
              <w:t>1.22</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24884</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38914</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1.24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685" w:type="dxa"/>
            <w:tcBorders>
              <w:top w:val="single" w:color="auto" w:sz="8" w:space="0"/>
              <w:left w:val="single" w:color="auto" w:sz="8" w:space="0"/>
              <w:bottom w:val="single" w:color="auto" w:sz="8" w:space="0"/>
              <w:right w:val="single" w:color="auto" w:sz="8" w:space="0"/>
            </w:tcBorders>
            <w:shd w:val="clear" w:color="auto" w:fill="D4E9B7"/>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女</w:t>
            </w:r>
          </w:p>
        </w:tc>
        <w:tc>
          <w:tcPr>
            <w:tcW w:w="1033"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8724</w:t>
            </w:r>
          </w:p>
        </w:tc>
        <w:tc>
          <w:tcPr>
            <w:tcW w:w="100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21.81%</w:t>
            </w:r>
          </w:p>
        </w:tc>
        <w:tc>
          <w:tcPr>
            <w:tcW w:w="105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14003</w:t>
            </w:r>
          </w:p>
        </w:tc>
        <w:tc>
          <w:tcPr>
            <w:tcW w:w="109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42.54%</w:t>
            </w:r>
          </w:p>
        </w:tc>
        <w:tc>
          <w:tcPr>
            <w:tcW w:w="1122"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spacing w:line="360" w:lineRule="auto"/>
              <w:jc w:val="center"/>
              <w:rPr>
                <w:rFonts w:ascii="宋体" w:hAnsi="宋体" w:cs="宋体"/>
                <w:szCs w:val="21"/>
              </w:rPr>
            </w:pPr>
            <w:r>
              <w:rPr>
                <w:rFonts w:hint="eastAsia" w:ascii="宋体" w:hAnsi="宋体" w:cs="宋体"/>
                <w:szCs w:val="21"/>
              </w:rPr>
              <w:t>1.21</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16837</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26962</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1.22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685" w:type="dxa"/>
            <w:tcBorders>
              <w:top w:val="single" w:color="auto" w:sz="8" w:space="0"/>
              <w:left w:val="single" w:color="auto" w:sz="8" w:space="0"/>
              <w:bottom w:val="single" w:color="auto" w:sz="8" w:space="0"/>
              <w:right w:val="single" w:color="auto" w:sz="8" w:space="0"/>
            </w:tcBorders>
            <w:shd w:val="clear" w:color="auto" w:fill="D4E9B7"/>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1033"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19355</w:t>
            </w:r>
          </w:p>
        </w:tc>
        <w:tc>
          <w:tcPr>
            <w:tcW w:w="100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48.39%</w:t>
            </w:r>
          </w:p>
        </w:tc>
        <w:tc>
          <w:tcPr>
            <w:tcW w:w="105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w:t>
            </w:r>
          </w:p>
        </w:tc>
        <w:tc>
          <w:tcPr>
            <w:tcW w:w="109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0.00%</w:t>
            </w:r>
          </w:p>
        </w:tc>
        <w:tc>
          <w:tcPr>
            <w:tcW w:w="1122"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spacing w:line="360" w:lineRule="auto"/>
              <w:jc w:val="center"/>
              <w:rPr>
                <w:rFonts w:ascii="宋体" w:hAnsi="宋体" w:cs="宋体"/>
                <w:szCs w:val="21"/>
              </w:rPr>
            </w:pPr>
            <w:r>
              <w:rPr>
                <w:rFonts w:hint="eastAsia" w:ascii="宋体" w:hAnsi="宋体" w:cs="宋体"/>
                <w:szCs w:val="21"/>
              </w:rPr>
              <w:t>/</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39428</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0</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685" w:type="dxa"/>
            <w:tcBorders>
              <w:top w:val="single" w:color="auto" w:sz="8" w:space="0"/>
              <w:left w:val="single" w:color="auto" w:sz="8" w:space="0"/>
              <w:bottom w:val="single" w:color="auto" w:sz="8" w:space="0"/>
              <w:right w:val="single" w:color="auto" w:sz="8" w:space="0"/>
            </w:tcBorders>
            <w:shd w:val="clear" w:color="auto" w:fill="D4E9B7"/>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1033"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39998</w:t>
            </w:r>
          </w:p>
        </w:tc>
        <w:tc>
          <w:tcPr>
            <w:tcW w:w="100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105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32918</w:t>
            </w:r>
          </w:p>
        </w:tc>
        <w:tc>
          <w:tcPr>
            <w:tcW w:w="109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1122"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spacing w:line="360" w:lineRule="auto"/>
              <w:jc w:val="center"/>
              <w:rPr>
                <w:rFonts w:ascii="宋体" w:hAnsi="宋体" w:cs="宋体"/>
                <w:szCs w:val="21"/>
              </w:rPr>
            </w:pPr>
            <w:r>
              <w:rPr>
                <w:rFonts w:hint="eastAsia" w:ascii="宋体" w:hAnsi="宋体" w:cs="宋体"/>
                <w:szCs w:val="21"/>
              </w:rPr>
              <w:t>1.22</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81149</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65876</w:t>
            </w:r>
          </w:p>
        </w:tc>
        <w:tc>
          <w:tcPr>
            <w:tcW w:w="813" w:type="dxa"/>
            <w:tcBorders>
              <w:top w:val="single" w:color="auto" w:sz="8" w:space="0"/>
              <w:left w:val="nil"/>
              <w:bottom w:val="single" w:color="auto" w:sz="8" w:space="0"/>
              <w:right w:val="single" w:color="auto" w:sz="8" w:space="0"/>
            </w:tcBorders>
            <w:shd w:val="clear" w:color="auto" w:fill="CCFFFF"/>
            <w:vAlign w:val="center"/>
          </w:tcPr>
          <w:p>
            <w:pPr>
              <w:spacing w:line="360" w:lineRule="auto"/>
              <w:jc w:val="center"/>
              <w:rPr>
                <w:rFonts w:ascii="宋体" w:hAnsi="宋体" w:cs="宋体"/>
                <w:szCs w:val="21"/>
              </w:rPr>
            </w:pPr>
            <w:r>
              <w:rPr>
                <w:rFonts w:hint="eastAsia" w:ascii="宋体" w:hAnsi="宋体" w:cs="宋体"/>
                <w:szCs w:val="21"/>
              </w:rPr>
              <w:t>1.23</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szCs w:val="21"/>
        </w:rPr>
      </w:pPr>
      <w:r>
        <w:rPr>
          <w:rFonts w:hint="eastAsia" w:ascii="宋体" w:hAnsi="宋体"/>
          <w:szCs w:val="21"/>
        </w:rPr>
        <w:t xml:space="preserve">2. </w:t>
      </w:r>
      <w:r>
        <w:rPr>
          <w:rFonts w:ascii="宋体" w:hAnsi="宋体"/>
          <w:szCs w:val="21"/>
        </w:rPr>
        <w:t>年龄</w:t>
      </w:r>
    </w:p>
    <w:p>
      <w:pPr>
        <w:spacing w:line="360" w:lineRule="auto"/>
        <w:ind w:firstLine="420" w:firstLineChars="200"/>
        <w:rPr>
          <w:rFonts w:ascii="宋体" w:hAnsi="宋体" w:cs="宋体"/>
          <w:kern w:val="0"/>
          <w:szCs w:val="21"/>
        </w:rPr>
      </w:pPr>
      <w:r>
        <w:rPr>
          <w:rFonts w:ascii="宋体" w:hAnsi="宋体" w:cs="宋体"/>
          <w:kern w:val="0"/>
          <w:szCs w:val="21"/>
        </w:rPr>
        <w:t>从</w:t>
      </w:r>
      <w:r>
        <w:rPr>
          <w:rFonts w:hint="eastAsia" w:ascii="宋体" w:hAnsi="宋体" w:cs="宋体"/>
          <w:kern w:val="0"/>
          <w:szCs w:val="21"/>
        </w:rPr>
        <w:t>下图</w:t>
      </w:r>
      <w:r>
        <w:rPr>
          <w:rFonts w:ascii="宋体" w:hAnsi="宋体" w:cs="宋体"/>
          <w:kern w:val="0"/>
          <w:szCs w:val="21"/>
        </w:rPr>
        <w:t>可以看出</w:t>
      </w:r>
      <w:r>
        <w:rPr>
          <w:rFonts w:hint="eastAsia" w:ascii="宋体" w:hAnsi="宋体" w:cs="宋体"/>
          <w:kern w:val="0"/>
          <w:szCs w:val="21"/>
        </w:rPr>
        <w:t>，</w:t>
      </w:r>
      <w:r>
        <w:rPr>
          <w:rFonts w:ascii="宋体" w:hAnsi="宋体" w:cs="宋体"/>
          <w:kern w:val="0"/>
          <w:szCs w:val="21"/>
        </w:rPr>
        <w:t>本季度需求人数最多的是</w:t>
      </w:r>
      <w:r>
        <w:rPr>
          <w:rFonts w:hint="eastAsia" w:ascii="宋体" w:hAnsi="宋体" w:cs="宋体"/>
          <w:kern w:val="0"/>
          <w:szCs w:val="21"/>
        </w:rPr>
        <w:t>25-34</w:t>
      </w:r>
      <w:r>
        <w:rPr>
          <w:rFonts w:ascii="宋体" w:hAnsi="宋体" w:cs="宋体"/>
          <w:kern w:val="0"/>
          <w:szCs w:val="21"/>
        </w:rPr>
        <w:t>岁这一年龄段，需求比重</w:t>
      </w:r>
      <w:r>
        <w:rPr>
          <w:rFonts w:hint="eastAsia" w:ascii="宋体" w:hAnsi="宋体" w:cs="宋体"/>
          <w:kern w:val="0"/>
          <w:szCs w:val="21"/>
        </w:rPr>
        <w:t>为33.62</w:t>
      </w:r>
      <w:r>
        <w:rPr>
          <w:rFonts w:ascii="宋体" w:hAnsi="宋体" w:cs="宋体"/>
          <w:kern w:val="0"/>
          <w:szCs w:val="21"/>
        </w:rPr>
        <w:t>%，需求量最少的仍然是45岁以上，需求比重仅为</w:t>
      </w:r>
      <w:r>
        <w:rPr>
          <w:rFonts w:hint="eastAsia" w:ascii="宋体" w:hAnsi="宋体" w:cs="宋体"/>
          <w:kern w:val="0"/>
          <w:szCs w:val="21"/>
        </w:rPr>
        <w:t>1.61</w:t>
      </w:r>
      <w:r>
        <w:rPr>
          <w:rFonts w:ascii="宋体" w:hAnsi="宋体" w:cs="宋体"/>
          <w:kern w:val="0"/>
          <w:szCs w:val="21"/>
        </w:rPr>
        <w:t>%</w:t>
      </w:r>
      <w:r>
        <w:rPr>
          <w:rFonts w:hint="eastAsia" w:ascii="宋体" w:hAnsi="宋体" w:cs="宋体"/>
          <w:kern w:val="0"/>
          <w:szCs w:val="21"/>
        </w:rPr>
        <w:t>。</w:t>
      </w:r>
      <w:r>
        <w:rPr>
          <w:rFonts w:ascii="宋体" w:hAnsi="宋体" w:cs="宋体"/>
          <w:kern w:val="0"/>
          <w:szCs w:val="21"/>
        </w:rPr>
        <w:t>从求职来看，16-24岁和25-34岁的求职人群依旧是求职主体，求职比重分别为</w:t>
      </w:r>
      <w:r>
        <w:rPr>
          <w:rFonts w:hint="eastAsia" w:ascii="宋体" w:hAnsi="宋体" w:cs="宋体"/>
          <w:kern w:val="0"/>
          <w:szCs w:val="21"/>
        </w:rPr>
        <w:t>33.01</w:t>
      </w:r>
      <w:r>
        <w:rPr>
          <w:rFonts w:ascii="宋体" w:hAnsi="宋体" w:cs="宋体"/>
          <w:kern w:val="0"/>
          <w:szCs w:val="21"/>
        </w:rPr>
        <w:t>%和</w:t>
      </w:r>
      <w:r>
        <w:rPr>
          <w:rFonts w:hint="eastAsia" w:ascii="宋体" w:hAnsi="宋体" w:cs="宋体"/>
          <w:kern w:val="0"/>
          <w:szCs w:val="21"/>
        </w:rPr>
        <w:t>33.62</w:t>
      </w:r>
      <w:r>
        <w:rPr>
          <w:rFonts w:ascii="宋体" w:hAnsi="宋体" w:cs="宋体"/>
          <w:kern w:val="0"/>
          <w:szCs w:val="21"/>
        </w:rPr>
        <w:t>%。</w:t>
      </w:r>
    </w:p>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表10. 按年龄分组的供求人数</w:t>
      </w:r>
    </w:p>
    <w:tbl>
      <w:tblPr>
        <w:tblStyle w:val="6"/>
        <w:tblW w:w="8655"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95"/>
        <w:gridCol w:w="900"/>
        <w:gridCol w:w="900"/>
        <w:gridCol w:w="900"/>
        <w:gridCol w:w="900"/>
        <w:gridCol w:w="1080"/>
        <w:gridCol w:w="1080"/>
        <w:gridCol w:w="900"/>
        <w:gridCol w:w="90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年龄</w:t>
            </w:r>
          </w:p>
        </w:tc>
        <w:tc>
          <w:tcPr>
            <w:tcW w:w="7560" w:type="dxa"/>
            <w:gridSpan w:val="8"/>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Cs w:val="21"/>
              </w:rPr>
            </w:pP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上半年累计需求人数（人）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上半年累计求职人数（人）</w:t>
            </w:r>
          </w:p>
        </w:tc>
        <w:tc>
          <w:tcPr>
            <w:tcW w:w="900" w:type="dxa"/>
            <w:tcBorders>
              <w:top w:val="nil"/>
              <w:left w:val="nil"/>
              <w:bottom w:val="single" w:color="auto" w:sz="8" w:space="0"/>
              <w:right w:val="single" w:color="auto"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上半年</w:t>
            </w:r>
            <w:r>
              <w:rPr>
                <w:rFonts w:hint="eastAsia" w:ascii="宋体" w:hAnsi="宋体" w:cs="宋体"/>
                <w:kern w:val="0"/>
                <w:szCs w:val="21"/>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16-24岁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11440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28.60%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10865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33.01%</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1.21</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20040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20633</w:t>
            </w:r>
          </w:p>
        </w:tc>
        <w:tc>
          <w:tcPr>
            <w:tcW w:w="90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1.24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25-34岁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11611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29.03%</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11066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33.62%</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1.21</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23308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24598</w:t>
            </w:r>
          </w:p>
        </w:tc>
        <w:tc>
          <w:tcPr>
            <w:tcW w:w="90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1.22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35-44岁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11099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27.75%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10457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31.77%</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1.22</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18924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19640</w:t>
            </w:r>
          </w:p>
        </w:tc>
        <w:tc>
          <w:tcPr>
            <w:tcW w:w="90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1.24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45岁以上</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540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1.35%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530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1.61%</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1.18</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948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1005</w:t>
            </w:r>
          </w:p>
        </w:tc>
        <w:tc>
          <w:tcPr>
            <w:tcW w:w="90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1.22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5308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13.27%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0.00%</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17929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0</w:t>
            </w:r>
          </w:p>
        </w:tc>
        <w:tc>
          <w:tcPr>
            <w:tcW w:w="90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39998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32918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1.22</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81149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65876</w:t>
            </w:r>
          </w:p>
        </w:tc>
        <w:tc>
          <w:tcPr>
            <w:tcW w:w="90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1.23</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szCs w:val="21"/>
        </w:rPr>
      </w:pPr>
      <w:r>
        <w:rPr>
          <w:rFonts w:hint="eastAsia" w:ascii="宋体" w:hAnsi="宋体"/>
          <w:szCs w:val="21"/>
        </w:rPr>
        <w:t xml:space="preserve">3. </w:t>
      </w:r>
      <w:r>
        <w:rPr>
          <w:rFonts w:ascii="宋体" w:hAnsi="宋体"/>
          <w:szCs w:val="21"/>
        </w:rPr>
        <w:t>文化程度</w:t>
      </w:r>
    </w:p>
    <w:p>
      <w:pPr>
        <w:widowControl/>
        <w:spacing w:before="100" w:beforeAutospacing="1" w:after="100" w:afterAutospacing="1" w:line="360" w:lineRule="auto"/>
        <w:ind w:firstLine="601"/>
        <w:jc w:val="left"/>
        <w:rPr>
          <w:rFonts w:ascii="宋体" w:hAnsi="宋体" w:cs="宋体"/>
          <w:kern w:val="0"/>
          <w:szCs w:val="21"/>
        </w:rPr>
      </w:pPr>
      <w:r>
        <w:rPr>
          <w:rFonts w:hint="eastAsia" w:ascii="宋体" w:hAnsi="宋体" w:cs="宋体"/>
          <w:kern w:val="0"/>
          <w:szCs w:val="21"/>
        </w:rPr>
        <w:t>在需求人群中，本季度大专和高中任然是需求比重最大的，其中职高技校中专生需求占高中总数的47.14%，其次是大学和初中及以下文化。</w:t>
      </w:r>
    </w:p>
    <w:p>
      <w:pPr>
        <w:widowControl/>
        <w:spacing w:before="100" w:beforeAutospacing="1" w:after="100" w:afterAutospacing="1" w:line="360" w:lineRule="auto"/>
        <w:ind w:firstLine="601"/>
        <w:jc w:val="left"/>
        <w:rPr>
          <w:rFonts w:ascii="宋体" w:hAnsi="宋体" w:cs="宋体"/>
          <w:kern w:val="0"/>
          <w:szCs w:val="21"/>
        </w:rPr>
      </w:pPr>
      <w:r>
        <w:rPr>
          <w:rFonts w:hint="eastAsia" w:ascii="宋体" w:hAnsi="宋体" w:cs="宋体"/>
          <w:kern w:val="0"/>
          <w:szCs w:val="21"/>
        </w:rPr>
        <w:t xml:space="preserve">在求职人群中，高中及大专占了总求职的绝大多数。总体上讲，文化水平虽然在逐渐提高，但还是以高中和大专为主，高学历人才相对较少，本科学历人员比例为16.44%，硕士以上人员比例仅占0.48%。 </w:t>
      </w:r>
    </w:p>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表11. 按文化程度分组的供求人数</w:t>
      </w:r>
    </w:p>
    <w:tbl>
      <w:tblPr>
        <w:tblStyle w:val="6"/>
        <w:tblW w:w="5122"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95"/>
        <w:gridCol w:w="869"/>
        <w:gridCol w:w="933"/>
        <w:gridCol w:w="891"/>
        <w:gridCol w:w="933"/>
        <w:gridCol w:w="974"/>
        <w:gridCol w:w="1208"/>
        <w:gridCol w:w="822"/>
        <w:gridCol w:w="26"/>
        <w:gridCol w:w="77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42" w:type="pct"/>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文化程度</w:t>
            </w:r>
          </w:p>
        </w:tc>
        <w:tc>
          <w:tcPr>
            <w:tcW w:w="4258" w:type="pct"/>
            <w:gridSpan w:val="9"/>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42" w:type="pct"/>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center"/>
              <w:rPr>
                <w:rFonts w:ascii="宋体" w:hAnsi="宋体" w:cs="宋体"/>
                <w:kern w:val="0"/>
                <w:szCs w:val="21"/>
              </w:rPr>
            </w:pPr>
          </w:p>
        </w:tc>
        <w:tc>
          <w:tcPr>
            <w:tcW w:w="49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534"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p>
        </w:tc>
        <w:tc>
          <w:tcPr>
            <w:tcW w:w="511"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534"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 (%)</w:t>
            </w:r>
          </w:p>
        </w:tc>
        <w:tc>
          <w:tcPr>
            <w:tcW w:w="55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c>
          <w:tcPr>
            <w:tcW w:w="69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szCs w:val="21"/>
              </w:rPr>
              <w:t>上半年累计需求人数（人）</w:t>
            </w:r>
          </w:p>
        </w:tc>
        <w:tc>
          <w:tcPr>
            <w:tcW w:w="485" w:type="pct"/>
            <w:gridSpan w:val="2"/>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szCs w:val="21"/>
              </w:rPr>
              <w:t>上半年累计求职人数（人）</w:t>
            </w:r>
          </w:p>
        </w:tc>
        <w:tc>
          <w:tcPr>
            <w:tcW w:w="446" w:type="pct"/>
            <w:tcBorders>
              <w:top w:val="nil"/>
              <w:left w:val="nil"/>
              <w:bottom w:val="single" w:color="auto" w:sz="8" w:space="0"/>
              <w:right w:val="single" w:color="auto"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上半年</w:t>
            </w:r>
            <w:r>
              <w:rPr>
                <w:rFonts w:hint="eastAsia" w:ascii="宋体" w:hAnsi="宋体" w:cs="宋体"/>
                <w:kern w:val="0"/>
                <w:szCs w:val="21"/>
              </w:rPr>
              <w:t>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初中及以下</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4771</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11.93%</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3967</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12.05%</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0"/>
                <w:szCs w:val="20"/>
              </w:rPr>
            </w:pPr>
            <w:r>
              <w:rPr>
                <w:rFonts w:hint="eastAsia"/>
                <w:sz w:val="20"/>
                <w:szCs w:val="20"/>
              </w:rPr>
              <w:t>9977</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8198</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 w:val="22"/>
                <w:szCs w:val="22"/>
              </w:rPr>
            </w:pPr>
            <w:r>
              <w:rPr>
                <w:rFonts w:hint="eastAsia"/>
                <w:sz w:val="22"/>
                <w:szCs w:val="22"/>
              </w:rPr>
              <w:t>1.22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高中</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10353</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25.88%</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8540</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25.94%</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1.21</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0"/>
                <w:szCs w:val="20"/>
              </w:rPr>
            </w:pPr>
            <w:r>
              <w:rPr>
                <w:rFonts w:hint="eastAsia"/>
                <w:sz w:val="20"/>
                <w:szCs w:val="20"/>
              </w:rPr>
              <w:t>20931</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16946</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 w:val="22"/>
                <w:szCs w:val="22"/>
              </w:rPr>
            </w:pPr>
            <w:r>
              <w:rPr>
                <w:rFonts w:hint="eastAsia"/>
                <w:sz w:val="22"/>
                <w:szCs w:val="22"/>
              </w:rPr>
              <w:t>1.24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其中：职高、技校、中专</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4880</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12.20%</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3993</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12.13%</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1.22</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0"/>
                <w:szCs w:val="20"/>
              </w:rPr>
            </w:pPr>
            <w:r>
              <w:rPr>
                <w:rFonts w:hint="eastAsia"/>
                <w:sz w:val="20"/>
                <w:szCs w:val="20"/>
              </w:rPr>
              <w:t>9510</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7640</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 w:val="22"/>
                <w:szCs w:val="22"/>
              </w:rPr>
            </w:pPr>
            <w:r>
              <w:rPr>
                <w:rFonts w:hint="eastAsia"/>
                <w:sz w:val="22"/>
                <w:szCs w:val="22"/>
              </w:rPr>
              <w:t>1.24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大专</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18077</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45.19%</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14840</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45.08%</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1.22</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0"/>
                <w:szCs w:val="20"/>
              </w:rPr>
            </w:pPr>
            <w:r>
              <w:rPr>
                <w:rFonts w:hint="eastAsia"/>
                <w:sz w:val="20"/>
                <w:szCs w:val="20"/>
              </w:rPr>
              <w:t>36271</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29386</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 w:val="22"/>
                <w:szCs w:val="22"/>
              </w:rPr>
            </w:pPr>
            <w:r>
              <w:rPr>
                <w:rFonts w:hint="eastAsia"/>
                <w:sz w:val="22"/>
                <w:szCs w:val="22"/>
              </w:rPr>
              <w:t>1.23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大学</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6609</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16.52%</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5412</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16.44%</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1.22</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0"/>
                <w:szCs w:val="20"/>
              </w:rPr>
            </w:pPr>
            <w:r>
              <w:rPr>
                <w:rFonts w:hint="eastAsia"/>
                <w:sz w:val="20"/>
                <w:szCs w:val="20"/>
              </w:rPr>
              <w:t>13553</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10999</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 w:val="22"/>
                <w:szCs w:val="22"/>
              </w:rPr>
            </w:pPr>
            <w:r>
              <w:rPr>
                <w:rFonts w:hint="eastAsia"/>
                <w:sz w:val="22"/>
                <w:szCs w:val="22"/>
              </w:rPr>
              <w:t>1.23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硕士以上</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188</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0.47%</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159</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0.48%</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1.18</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0"/>
                <w:szCs w:val="20"/>
              </w:rPr>
            </w:pPr>
            <w:r>
              <w:rPr>
                <w:rFonts w:hint="eastAsia"/>
                <w:sz w:val="20"/>
                <w:szCs w:val="20"/>
              </w:rPr>
              <w:t>417</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347</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 w:val="22"/>
                <w:szCs w:val="22"/>
              </w:rPr>
            </w:pPr>
            <w:r>
              <w:rPr>
                <w:rFonts w:hint="eastAsia"/>
                <w:sz w:val="22"/>
                <w:szCs w:val="22"/>
              </w:rPr>
              <w:t>1.20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0.00%</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0.00%</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0</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0</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742"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49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39998</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51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32918</w:t>
            </w:r>
          </w:p>
        </w:tc>
        <w:tc>
          <w:tcPr>
            <w:tcW w:w="534"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55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1.22</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81149</w:t>
            </w:r>
          </w:p>
        </w:tc>
        <w:tc>
          <w:tcPr>
            <w:tcW w:w="471"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szCs w:val="21"/>
              </w:rPr>
              <w:t>65876</w:t>
            </w:r>
          </w:p>
        </w:tc>
        <w:tc>
          <w:tcPr>
            <w:tcW w:w="460" w:type="pct"/>
            <w:gridSpan w:val="2"/>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szCs w:val="21"/>
              </w:rPr>
            </w:pPr>
            <w:r>
              <w:rPr>
                <w:rFonts w:hint="eastAsia" w:ascii="宋体" w:hAnsi="宋体" w:cs="宋体"/>
                <w:szCs w:val="21"/>
              </w:rPr>
              <w:t>1.23</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szCs w:val="21"/>
        </w:rPr>
      </w:pPr>
      <w:r>
        <w:rPr>
          <w:rFonts w:hint="eastAsia" w:ascii="宋体" w:hAnsi="宋体"/>
          <w:szCs w:val="21"/>
        </w:rPr>
        <w:t xml:space="preserve">4. </w:t>
      </w:r>
      <w:r>
        <w:rPr>
          <w:rFonts w:ascii="宋体" w:hAnsi="宋体"/>
          <w:szCs w:val="21"/>
        </w:rPr>
        <w:t>技术等级或职称</w:t>
      </w:r>
    </w:p>
    <w:p>
      <w:pPr>
        <w:adjustRightInd w:val="0"/>
        <w:snapToGrid w:val="0"/>
        <w:spacing w:line="360" w:lineRule="auto"/>
        <w:ind w:firstLine="420" w:firstLineChars="200"/>
        <w:jc w:val="left"/>
        <w:rPr>
          <w:rFonts w:ascii="宋体" w:hAnsi="宋体"/>
          <w:szCs w:val="21"/>
        </w:rPr>
      </w:pPr>
      <w:r>
        <w:rPr>
          <w:rFonts w:hint="eastAsia" w:ascii="宋体" w:hAnsi="宋体"/>
          <w:szCs w:val="21"/>
        </w:rPr>
        <w:t>按技术等级分类，需求中无要求的占49.85%，求职者中无技术等级和职称的占50.86%，这两者仍然是需求和求职的主要构成部分，与去年同期相比，</w:t>
      </w:r>
      <w:r>
        <w:rPr>
          <w:rFonts w:ascii="宋体" w:hAnsi="宋体"/>
          <w:szCs w:val="21"/>
        </w:rPr>
        <w:t>企业</w:t>
      </w:r>
      <w:r>
        <w:rPr>
          <w:rFonts w:hint="eastAsia" w:ascii="宋体" w:hAnsi="宋体"/>
          <w:szCs w:val="21"/>
        </w:rPr>
        <w:t>对于有高技能的人才需要略有增加，而求职者中有职业资格专业技术的比例也逐年上升。</w:t>
      </w:r>
    </w:p>
    <w:p>
      <w:pPr>
        <w:adjustRightInd w:val="0"/>
        <w:snapToGrid w:val="0"/>
        <w:spacing w:line="360" w:lineRule="auto"/>
        <w:jc w:val="center"/>
        <w:rPr>
          <w:rFonts w:ascii="宋体" w:hAnsi="宋体"/>
          <w:szCs w:val="21"/>
        </w:rPr>
      </w:pPr>
      <w:r>
        <w:rPr>
          <w:rFonts w:hint="eastAsia" w:ascii="宋体" w:hAnsi="宋体"/>
          <w:szCs w:val="21"/>
        </w:rPr>
        <w:t xml:space="preserve">表12 </w:t>
      </w:r>
      <w:r>
        <w:rPr>
          <w:rFonts w:ascii="宋体" w:hAnsi="宋体"/>
          <w:szCs w:val="21"/>
        </w:rPr>
        <w:t>按技术等级分组的供求人数</w:t>
      </w:r>
    </w:p>
    <w:tbl>
      <w:tblPr>
        <w:tblStyle w:val="6"/>
        <w:tblW w:w="9015"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55"/>
        <w:gridCol w:w="1080"/>
        <w:gridCol w:w="900"/>
        <w:gridCol w:w="900"/>
        <w:gridCol w:w="900"/>
        <w:gridCol w:w="720"/>
        <w:gridCol w:w="1080"/>
        <w:gridCol w:w="990"/>
        <w:gridCol w:w="9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45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技术等级</w:t>
            </w:r>
          </w:p>
        </w:tc>
        <w:tc>
          <w:tcPr>
            <w:tcW w:w="7560" w:type="dxa"/>
            <w:gridSpan w:val="8"/>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45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left"/>
              <w:rPr>
                <w:rFonts w:ascii="宋体" w:hAnsi="宋体" w:cs="宋体"/>
                <w:kern w:val="0"/>
                <w:szCs w:val="21"/>
              </w:rPr>
            </w:pP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72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szCs w:val="21"/>
              </w:rPr>
              <w:t>上半年累计需求人数（人）</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szCs w:val="21"/>
              </w:rPr>
              <w:t>上半年累计求职人数（人）</w:t>
            </w:r>
          </w:p>
        </w:tc>
        <w:tc>
          <w:tcPr>
            <w:tcW w:w="990" w:type="dxa"/>
            <w:tcBorders>
              <w:top w:val="nil"/>
              <w:left w:val="nil"/>
              <w:bottom w:val="single" w:color="auto" w:sz="8" w:space="0"/>
              <w:right w:val="single" w:color="auto" w:sz="8" w:space="0"/>
            </w:tcBorders>
            <w:shd w:val="clear" w:color="auto" w:fill="FFFF99"/>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上半年求人倍率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职业资格五级</w:t>
            </w:r>
            <w:r>
              <w:rPr>
                <w:rFonts w:hint="eastAsia" w:ascii="宋体" w:hAnsi="宋体" w:cs="宋体"/>
                <w:kern w:val="0"/>
                <w:szCs w:val="21"/>
              </w:rPr>
              <w:br w:type="textWrapping"/>
            </w:r>
            <w:r>
              <w:rPr>
                <w:rFonts w:hint="eastAsia" w:ascii="宋体" w:hAnsi="宋体" w:cs="宋体"/>
                <w:kern w:val="0"/>
                <w:szCs w:val="21"/>
              </w:rPr>
              <w:t>(初级技能)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12807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32.02%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12127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36.84%</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1.06</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25731</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24314</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1.06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职业资格四级</w:t>
            </w:r>
            <w:r>
              <w:rPr>
                <w:rFonts w:hint="eastAsia" w:ascii="宋体" w:hAnsi="宋体" w:cs="宋体"/>
                <w:kern w:val="0"/>
                <w:szCs w:val="21"/>
              </w:rPr>
              <w:br w:type="textWrapping"/>
            </w:r>
            <w:r>
              <w:rPr>
                <w:rFonts w:hint="eastAsia" w:ascii="宋体" w:hAnsi="宋体" w:cs="宋体"/>
                <w:kern w:val="0"/>
                <w:szCs w:val="21"/>
              </w:rPr>
              <w:t>(中级技能)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4002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2251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6.84%</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1.78</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8488</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4498</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1.89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职业资格三级</w:t>
            </w:r>
            <w:r>
              <w:rPr>
                <w:rFonts w:hint="eastAsia" w:ascii="宋体" w:hAnsi="宋体" w:cs="宋体"/>
                <w:kern w:val="0"/>
                <w:szCs w:val="21"/>
              </w:rPr>
              <w:br w:type="textWrapping"/>
            </w:r>
            <w:r>
              <w:rPr>
                <w:rFonts w:hint="eastAsia" w:ascii="宋体" w:hAnsi="宋体" w:cs="宋体"/>
                <w:kern w:val="0"/>
                <w:szCs w:val="21"/>
              </w:rPr>
              <w:t>(高级技能)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1701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4.25%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694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2.11%</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2.45</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3418</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1385</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2.47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职业资格二级(技师)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352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0.88%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0.57%</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1.86</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704</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376</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1.87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职业资格一级(高级技师)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148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0.37%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43</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0.13%</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3.44</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296</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86</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3.44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初级专业技术职务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644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1.61%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591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1.80%</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1.09</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1291</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1175</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1.10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中级专业技术职务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317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0.79%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212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0.64%</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1.50</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635</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421</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1.51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高级专业技术职务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0.11%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0.14%</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0.96</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90</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94</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0.96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无技术等级或职称</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16764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50.93%</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1.19</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33527</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1.21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19982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49.96%</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40496</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ascii="宋体" w:hAnsi="宋体" w:cs="宋体"/>
                <w:color w:val="000000"/>
                <w:sz w:val="20"/>
                <w:szCs w:val="2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4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39998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32918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100.00%</w:t>
            </w:r>
          </w:p>
        </w:tc>
        <w:tc>
          <w:tcPr>
            <w:tcW w:w="72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0"/>
                <w:szCs w:val="20"/>
              </w:rPr>
            </w:pPr>
            <w:r>
              <w:rPr>
                <w:rFonts w:hint="eastAsia"/>
                <w:sz w:val="20"/>
                <w:szCs w:val="20"/>
              </w:rPr>
              <w:t>1.22</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81149</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color w:val="000000"/>
                <w:sz w:val="20"/>
                <w:szCs w:val="20"/>
              </w:rPr>
            </w:pPr>
            <w:r>
              <w:rPr>
                <w:rFonts w:hint="eastAsia"/>
                <w:color w:val="000000"/>
                <w:sz w:val="20"/>
                <w:szCs w:val="20"/>
              </w:rPr>
              <w:t>65876</w:t>
            </w:r>
          </w:p>
        </w:tc>
        <w:tc>
          <w:tcPr>
            <w:tcW w:w="990" w:type="dxa"/>
            <w:tcBorders>
              <w:top w:val="single" w:color="auto" w:sz="8" w:space="0"/>
              <w:left w:val="nil"/>
              <w:bottom w:val="single" w:color="auto" w:sz="8" w:space="0"/>
              <w:right w:val="single" w:color="auto" w:sz="8" w:space="0"/>
            </w:tcBorders>
            <w:shd w:val="clear" w:color="auto" w:fill="CCFFFF"/>
            <w:vAlign w:val="center"/>
          </w:tcPr>
          <w:p>
            <w:pPr>
              <w:jc w:val="center"/>
              <w:rPr>
                <w:rFonts w:ascii="宋体" w:hAnsi="宋体" w:cs="宋体"/>
                <w:color w:val="000000"/>
                <w:sz w:val="20"/>
                <w:szCs w:val="20"/>
              </w:rPr>
            </w:pPr>
            <w:r>
              <w:rPr>
                <w:rFonts w:hint="eastAsia"/>
                <w:color w:val="000000"/>
                <w:sz w:val="20"/>
                <w:szCs w:val="20"/>
              </w:rPr>
              <w:t>1.23</w:t>
            </w:r>
          </w:p>
        </w:tc>
      </w:tr>
    </w:tbl>
    <w:p>
      <w:pPr>
        <w:widowControl/>
        <w:spacing w:before="100" w:beforeAutospacing="1" w:after="100" w:afterAutospacing="1" w:line="360" w:lineRule="auto"/>
        <w:jc w:val="left"/>
        <w:rPr>
          <w:rFonts w:ascii="宋体" w:hAnsi="宋体"/>
          <w:b/>
          <w:sz w:val="30"/>
          <w:szCs w:val="30"/>
        </w:rPr>
      </w:pPr>
    </w:p>
    <w:p>
      <w:pPr>
        <w:adjustRightInd w:val="0"/>
        <w:snapToGrid w:val="0"/>
        <w:spacing w:line="360" w:lineRule="auto"/>
        <w:jc w:val="left"/>
        <w:rPr>
          <w:rFonts w:ascii="宋体" w:hAnsi="宋体"/>
          <w:b/>
          <w:sz w:val="30"/>
          <w:szCs w:val="30"/>
        </w:rPr>
      </w:pPr>
      <w:r>
        <w:rPr>
          <w:rFonts w:hint="eastAsia" w:ascii="宋体" w:hAnsi="宋体"/>
          <w:sz w:val="30"/>
          <w:szCs w:val="30"/>
        </w:rPr>
        <w:t>三、</w:t>
      </w:r>
      <w:r>
        <w:rPr>
          <w:rFonts w:hint="eastAsia" w:ascii="宋体" w:hAnsi="宋体"/>
          <w:b/>
          <w:sz w:val="30"/>
          <w:szCs w:val="30"/>
        </w:rPr>
        <w:t>上半年人力资源市场运行状况和特点及应对措施</w:t>
      </w:r>
    </w:p>
    <w:p>
      <w:pPr>
        <w:adjustRightInd w:val="0"/>
        <w:snapToGrid w:val="0"/>
        <w:spacing w:line="360" w:lineRule="auto"/>
        <w:jc w:val="left"/>
        <w:rPr>
          <w:rFonts w:ascii="宋体" w:hAnsi="宋体"/>
          <w:b/>
          <w:szCs w:val="21"/>
        </w:rPr>
      </w:pPr>
      <w:r>
        <w:rPr>
          <w:rFonts w:hint="eastAsia" w:ascii="宋体" w:hAnsi="宋体"/>
          <w:b/>
          <w:szCs w:val="21"/>
        </w:rPr>
        <w:t>（一）、二季度人力资源市场运行状况和特点</w:t>
      </w:r>
    </w:p>
    <w:p>
      <w:pPr>
        <w:adjustRightInd w:val="0"/>
        <w:snapToGrid w:val="0"/>
        <w:spacing w:line="360" w:lineRule="auto"/>
        <w:ind w:firstLine="420"/>
        <w:jc w:val="left"/>
        <w:rPr>
          <w:rFonts w:ascii="宋体" w:hAnsi="宋体"/>
          <w:szCs w:val="21"/>
        </w:rPr>
      </w:pPr>
      <w:r>
        <w:rPr>
          <w:rFonts w:hint="eastAsia" w:ascii="宋体" w:hAnsi="宋体"/>
          <w:szCs w:val="21"/>
        </w:rPr>
        <w:t>1、本季度需求数为39998人，求职数为32918人，求人倍率为1.22。可以看出，上半年二、三、四月份由于春节效应明显，需求和求职量都有明显增加，达到高峰。</w:t>
      </w:r>
    </w:p>
    <w:p>
      <w:pPr>
        <w:adjustRightInd w:val="0"/>
        <w:snapToGrid w:val="0"/>
        <w:spacing w:line="360" w:lineRule="auto"/>
        <w:ind w:firstLine="420"/>
        <w:jc w:val="left"/>
        <w:rPr>
          <w:rFonts w:ascii="宋体" w:hAnsi="宋体"/>
          <w:szCs w:val="21"/>
        </w:rPr>
      </w:pPr>
      <w:r>
        <w:rPr>
          <w:rFonts w:hint="eastAsia" w:ascii="宋体" w:hAnsi="宋体"/>
          <w:szCs w:val="21"/>
        </w:rPr>
        <w:t>2、从图表中可以看出，春节后各类型的人员大量涌入求职市场，求人倍率逐渐降低。</w:t>
      </w:r>
    </w:p>
    <w:p>
      <w:pPr>
        <w:adjustRightInd w:val="0"/>
        <w:snapToGrid w:val="0"/>
        <w:spacing w:line="360" w:lineRule="auto"/>
        <w:ind w:firstLine="420"/>
        <w:jc w:val="left"/>
        <w:rPr>
          <w:rFonts w:ascii="宋体" w:hAnsi="宋体"/>
          <w:color w:val="FF0000"/>
          <w:szCs w:val="21"/>
        </w:rPr>
      </w:pPr>
      <w:r>
        <w:rPr>
          <w:rFonts w:ascii="宋体" w:hAnsi="宋体"/>
          <w:color w:val="FF0000"/>
          <w:szCs w:val="21"/>
        </w:rPr>
        <w:drawing>
          <wp:inline distT="0" distB="0" distL="0" distR="0">
            <wp:extent cx="5274310" cy="2227580"/>
            <wp:effectExtent l="0" t="0" r="0" b="0"/>
            <wp:docPr id="2"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adjustRightInd w:val="0"/>
        <w:snapToGrid w:val="0"/>
        <w:spacing w:line="360" w:lineRule="auto"/>
        <w:ind w:firstLine="420"/>
        <w:jc w:val="left"/>
        <w:rPr>
          <w:rFonts w:ascii="宋体" w:hAnsi="宋体"/>
          <w:color w:val="FF0000"/>
          <w:szCs w:val="21"/>
        </w:rPr>
      </w:pPr>
      <w:r>
        <w:rPr>
          <w:rFonts w:hint="eastAsia" w:ascii="宋体" w:hAnsi="宋体"/>
          <w:szCs w:val="21"/>
        </w:rPr>
        <w:t>3、第二产业仍占企业需求和求职的主要部分，尤其是制造业。但第三产业比重总体上已经在逐步上升。一线操作工，机械装配工，焊工等在需求总量上的绝对值最大，缺口也最大。男女需求差距略有扩大，总体上无论是需求还是求职，男性仍略大于女性。这与我市的行业结构有关，也与年轻女性结婚生育的社会现象有关。我市的机械装备、纺织服装等行业仍是我市企业用工主体。需求和求职均以青壮年为主，从需求来看，这一年龄段群体的相对于其它年龄段的求职者来说，可塑性和学习能力都优于其他年龄段，更受单位欢迎；从求职者来看，这个年龄段的求职者流动性大，对自身的职业规划还在不断调整优化中。</w:t>
      </w:r>
    </w:p>
    <w:p>
      <w:pPr>
        <w:pStyle w:val="18"/>
        <w:numPr>
          <w:ilvl w:val="0"/>
          <w:numId w:val="1"/>
        </w:numPr>
        <w:spacing w:line="360" w:lineRule="auto"/>
        <w:ind w:firstLineChars="0"/>
        <w:rPr>
          <w:rFonts w:ascii="宋体" w:hAnsi="宋体"/>
          <w:b/>
          <w:szCs w:val="21"/>
        </w:rPr>
      </w:pPr>
      <w:r>
        <w:rPr>
          <w:rFonts w:hint="eastAsia" w:ascii="宋体" w:hAnsi="宋体"/>
          <w:b/>
          <w:szCs w:val="21"/>
        </w:rPr>
        <w:t>针对以上情况，我市采取了积极的应对措施：</w:t>
      </w:r>
    </w:p>
    <w:p>
      <w:pPr>
        <w:spacing w:line="360" w:lineRule="auto"/>
        <w:ind w:firstLine="420" w:firstLineChars="200"/>
        <w:rPr>
          <w:rFonts w:ascii="宋体" w:hAnsi="宋体"/>
          <w:szCs w:val="21"/>
        </w:rPr>
      </w:pPr>
      <w:r>
        <w:rPr>
          <w:rFonts w:hint="eastAsia" w:ascii="宋体" w:hAnsi="宋体"/>
          <w:szCs w:val="21"/>
        </w:rPr>
        <w:t>1、</w:t>
      </w:r>
      <w:r>
        <w:rPr>
          <w:rFonts w:ascii="宋体" w:hAnsi="宋体"/>
          <w:szCs w:val="21"/>
        </w:rPr>
        <w:t>完善用工监测分析机制。密切关注</w:t>
      </w:r>
      <w:r>
        <w:rPr>
          <w:rFonts w:hint="eastAsia" w:ascii="宋体" w:hAnsi="宋体"/>
          <w:szCs w:val="21"/>
        </w:rPr>
        <w:t>我市</w:t>
      </w:r>
      <w:r>
        <w:rPr>
          <w:rFonts w:ascii="宋体" w:hAnsi="宋体"/>
          <w:szCs w:val="21"/>
        </w:rPr>
        <w:t>企业用工动态，发挥重点企业用工监测体系的预警作用。依托用工备案管理、用工需求调查、就业形势分析等全方位工作体系，进一步完善重点企业分类分级用工监测，加强对重点行业、重点企业的监测跟踪，密切关注外部形势变化对本地企业用工的影响，及时掌握企业需求，精准研判就业形势，及时上报情况和典型案例。</w:t>
      </w:r>
    </w:p>
    <w:p>
      <w:pPr>
        <w:spacing w:line="360" w:lineRule="auto"/>
        <w:ind w:firstLine="420" w:firstLineChars="200"/>
        <w:rPr>
          <w:rFonts w:ascii="宋体" w:hAnsi="宋体"/>
          <w:szCs w:val="21"/>
        </w:rPr>
      </w:pPr>
      <w:r>
        <w:rPr>
          <w:rFonts w:hint="eastAsia" w:ascii="宋体" w:hAnsi="宋体"/>
          <w:szCs w:val="21"/>
        </w:rPr>
        <w:t>2、</w:t>
      </w:r>
      <w:r>
        <w:rPr>
          <w:rFonts w:ascii="宋体" w:hAnsi="宋体"/>
          <w:szCs w:val="21"/>
        </w:rPr>
        <w:t>开展“一企一策”用工服务。持续推进重点企业联系、企业缺工报告等制度，结合</w:t>
      </w:r>
      <w:r>
        <w:rPr>
          <w:rFonts w:hint="eastAsia" w:ascii="宋体" w:hAnsi="宋体"/>
          <w:szCs w:val="21"/>
        </w:rPr>
        <w:t>我市</w:t>
      </w:r>
      <w:r>
        <w:rPr>
          <w:rFonts w:ascii="宋体" w:hAnsi="宋体"/>
          <w:szCs w:val="21"/>
        </w:rPr>
        <w:t>产业特色和用工特点，明确一批重点企业，持续开展“一企一策”用工跟踪服务。针对企业报告的缺工情况和用工需求，坚持问题导向和原因分析，及时制定个性化服务方案，有针对性提供用工指导、用工推介、招聘对接等服务，通过内挖潜力和外聚合力，拓宽企业用工来源，引导企业稳定用工。</w:t>
      </w:r>
    </w:p>
    <w:p>
      <w:pPr>
        <w:spacing w:line="360" w:lineRule="auto"/>
        <w:ind w:firstLine="420" w:firstLineChars="200"/>
        <w:rPr>
          <w:rFonts w:ascii="宋体" w:hAnsi="宋体"/>
          <w:szCs w:val="21"/>
        </w:rPr>
      </w:pPr>
      <w:r>
        <w:rPr>
          <w:rFonts w:hint="eastAsia" w:ascii="宋体" w:hAnsi="宋体"/>
          <w:szCs w:val="21"/>
        </w:rPr>
        <w:t>3、</w:t>
      </w:r>
      <w:r>
        <w:rPr>
          <w:rFonts w:ascii="宋体" w:hAnsi="宋体"/>
          <w:szCs w:val="21"/>
        </w:rPr>
        <w:t>加强企业用工指导服务。加强与重点企业的联系沟通，了解企业在用工方面的实际困难和需求。通过开展政策宣讲、培训座谈、职业指导等多种方式送课入企，交流用工形势变化，对企业招人用人留人方面开展用工指导，引导企业改善用工环境、加强文化建设、健全培养机制，进一步增强员工的归属感和获得感，提升企业吸引力和竞争力；引导员工树立“技能立身”的就业观和择业观，更好地规划职业生涯，从而</w:t>
      </w:r>
      <w:r>
        <w:rPr>
          <w:rFonts w:hint="eastAsia" w:ascii="宋体" w:hAnsi="宋体"/>
          <w:szCs w:val="21"/>
        </w:rPr>
        <w:t>促进</w:t>
      </w:r>
      <w:r>
        <w:rPr>
          <w:rFonts w:ascii="宋体" w:hAnsi="宋体"/>
          <w:szCs w:val="21"/>
        </w:rPr>
        <w:t>企业用工稳定。</w:t>
      </w:r>
    </w:p>
    <w:p>
      <w:pPr>
        <w:spacing w:line="360" w:lineRule="auto"/>
        <w:ind w:firstLine="420" w:firstLineChars="200"/>
        <w:textAlignment w:val="baseline"/>
        <w:rPr>
          <w:rFonts w:ascii="宋体" w:hAnsi="宋体"/>
          <w:szCs w:val="21"/>
        </w:rPr>
      </w:pPr>
      <w:r>
        <w:rPr>
          <w:rFonts w:hint="eastAsia" w:ascii="宋体" w:hAnsi="宋体"/>
          <w:szCs w:val="21"/>
        </w:rPr>
        <w:t>4、搭建</w:t>
      </w:r>
      <w:r>
        <w:rPr>
          <w:rFonts w:ascii="宋体" w:hAnsi="宋体"/>
          <w:szCs w:val="21"/>
        </w:rPr>
        <w:t>企业用工信息平台。充分发挥“就在苏州”公共服务线上平台作用，聚合全市公共人力资源市场和重点企业岗位信息</w:t>
      </w:r>
      <w:r>
        <w:rPr>
          <w:rFonts w:hint="eastAsia" w:ascii="宋体" w:hAnsi="宋体"/>
          <w:szCs w:val="21"/>
        </w:rPr>
        <w:t>和</w:t>
      </w:r>
      <w:r>
        <w:rPr>
          <w:rFonts w:ascii="宋体" w:hAnsi="宋体"/>
          <w:szCs w:val="21"/>
        </w:rPr>
        <w:t>招聘会信息，多渠道宣传引流</w:t>
      </w:r>
      <w:r>
        <w:rPr>
          <w:rFonts w:hint="eastAsia" w:ascii="宋体" w:hAnsi="宋体"/>
          <w:szCs w:val="21"/>
        </w:rPr>
        <w:t>，</w:t>
      </w:r>
      <w:r>
        <w:rPr>
          <w:rFonts w:ascii="宋体" w:hAnsi="宋体"/>
          <w:szCs w:val="21"/>
        </w:rPr>
        <w:t>促进供需双方高效</w:t>
      </w:r>
      <w:r>
        <w:rPr>
          <w:rFonts w:hint="eastAsia" w:ascii="宋体" w:hAnsi="宋体"/>
          <w:szCs w:val="21"/>
        </w:rPr>
        <w:t>、</w:t>
      </w:r>
      <w:r>
        <w:rPr>
          <w:rFonts w:ascii="宋体" w:hAnsi="宋体"/>
          <w:szCs w:val="21"/>
        </w:rPr>
        <w:t>精准对接。</w:t>
      </w:r>
    </w:p>
    <w:p>
      <w:pPr>
        <w:spacing w:line="360" w:lineRule="auto"/>
        <w:ind w:firstLine="420" w:firstLineChars="200"/>
        <w:rPr>
          <w:rFonts w:ascii="宋体" w:hAnsi="宋体"/>
          <w:szCs w:val="21"/>
        </w:rPr>
      </w:pPr>
      <w:r>
        <w:rPr>
          <w:rFonts w:hint="eastAsia" w:ascii="宋体" w:hAnsi="宋体"/>
          <w:szCs w:val="21"/>
        </w:rPr>
        <w:t>5、</w:t>
      </w:r>
      <w:r>
        <w:rPr>
          <w:rFonts w:ascii="宋体" w:hAnsi="宋体"/>
          <w:szCs w:val="21"/>
        </w:rPr>
        <w:t>扩大企业用工来源渠道。加强与劳动力输出地区的人力资源合作对接，赴外拓展更多劳务合作、校企合作基地，加强与合作地区的岗位信息对接匹配，开展组织化劳务协作。切实加强与已脱贫对口地区间的劳务合作，促进巩固脱贫攻坚成果与推进乡村振兴战略的有效衔接。进一步加强与外省市院校的联系合作</w:t>
      </w:r>
      <w:r>
        <w:rPr>
          <w:rFonts w:hint="eastAsia" w:ascii="宋体" w:hAnsi="宋体"/>
          <w:szCs w:val="21"/>
        </w:rPr>
        <w:t>，</w:t>
      </w:r>
      <w:r>
        <w:rPr>
          <w:rFonts w:ascii="宋体" w:hAnsi="宋体"/>
          <w:szCs w:val="21"/>
        </w:rPr>
        <w:t>促进产教融合，助力企业技能人才引进。</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lang w:val="zh-CN"/>
      </w:rPr>
      <w:id w:val="692756559"/>
      <w:docPartObj>
        <w:docPartGallery w:val="AutoText"/>
      </w:docPartObj>
    </w:sdtPr>
    <w:sdtEndPr>
      <w:rPr>
        <w:b/>
        <w:sz w:val="24"/>
        <w:szCs w:val="24"/>
        <w:lang w:val="en-US"/>
      </w:rPr>
    </w:sdtEndPr>
    <w:sdtContent>
      <w:p>
        <w:pPr>
          <w:pStyle w:val="4"/>
          <w:jc w:val="right"/>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12</w:t>
        </w:r>
        <w:r>
          <w:rPr>
            <w:b/>
            <w:sz w:val="24"/>
            <w:szCs w:val="24"/>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A21554"/>
    <w:multiLevelType w:val="multilevel"/>
    <w:tmpl w:val="5BA21554"/>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B7"/>
    <w:rsid w:val="00010A71"/>
    <w:rsid w:val="00042922"/>
    <w:rsid w:val="000478D2"/>
    <w:rsid w:val="00064935"/>
    <w:rsid w:val="000670D7"/>
    <w:rsid w:val="00072F3E"/>
    <w:rsid w:val="00084B52"/>
    <w:rsid w:val="000A7056"/>
    <w:rsid w:val="000A7413"/>
    <w:rsid w:val="000A7B36"/>
    <w:rsid w:val="000B4C20"/>
    <w:rsid w:val="000D4161"/>
    <w:rsid w:val="000D6B0B"/>
    <w:rsid w:val="001108BE"/>
    <w:rsid w:val="00125ACA"/>
    <w:rsid w:val="00140ECF"/>
    <w:rsid w:val="0014285B"/>
    <w:rsid w:val="00144741"/>
    <w:rsid w:val="001524CA"/>
    <w:rsid w:val="001901A0"/>
    <w:rsid w:val="001B09F5"/>
    <w:rsid w:val="001B3B33"/>
    <w:rsid w:val="001C08AC"/>
    <w:rsid w:val="001C1C78"/>
    <w:rsid w:val="001C4DA6"/>
    <w:rsid w:val="001E31F7"/>
    <w:rsid w:val="001E5F63"/>
    <w:rsid w:val="002206CB"/>
    <w:rsid w:val="0022349D"/>
    <w:rsid w:val="00224984"/>
    <w:rsid w:val="00255C3C"/>
    <w:rsid w:val="002916CD"/>
    <w:rsid w:val="0029470B"/>
    <w:rsid w:val="0033010C"/>
    <w:rsid w:val="00334013"/>
    <w:rsid w:val="00353AED"/>
    <w:rsid w:val="003602CB"/>
    <w:rsid w:val="003B0A1E"/>
    <w:rsid w:val="003D4BD5"/>
    <w:rsid w:val="003D4FF9"/>
    <w:rsid w:val="003E5F19"/>
    <w:rsid w:val="00416CEF"/>
    <w:rsid w:val="0042349D"/>
    <w:rsid w:val="004234CB"/>
    <w:rsid w:val="00427DC2"/>
    <w:rsid w:val="00434793"/>
    <w:rsid w:val="00436252"/>
    <w:rsid w:val="00446431"/>
    <w:rsid w:val="0045156E"/>
    <w:rsid w:val="0046297A"/>
    <w:rsid w:val="00473BF3"/>
    <w:rsid w:val="00474310"/>
    <w:rsid w:val="0048434F"/>
    <w:rsid w:val="00490131"/>
    <w:rsid w:val="00497F70"/>
    <w:rsid w:val="004B56D2"/>
    <w:rsid w:val="004D3255"/>
    <w:rsid w:val="004D788A"/>
    <w:rsid w:val="004F6D79"/>
    <w:rsid w:val="00505926"/>
    <w:rsid w:val="00515F88"/>
    <w:rsid w:val="005375F8"/>
    <w:rsid w:val="00561A9C"/>
    <w:rsid w:val="005708A3"/>
    <w:rsid w:val="00572984"/>
    <w:rsid w:val="00572CF4"/>
    <w:rsid w:val="005849DD"/>
    <w:rsid w:val="00594954"/>
    <w:rsid w:val="005A19C5"/>
    <w:rsid w:val="005A617B"/>
    <w:rsid w:val="005E0DE4"/>
    <w:rsid w:val="005E68FC"/>
    <w:rsid w:val="005F03D4"/>
    <w:rsid w:val="006056BC"/>
    <w:rsid w:val="00615568"/>
    <w:rsid w:val="00631EEB"/>
    <w:rsid w:val="00632658"/>
    <w:rsid w:val="0066256E"/>
    <w:rsid w:val="006732D8"/>
    <w:rsid w:val="006902E3"/>
    <w:rsid w:val="00690D78"/>
    <w:rsid w:val="00692C79"/>
    <w:rsid w:val="006935F1"/>
    <w:rsid w:val="006A139B"/>
    <w:rsid w:val="006A69FB"/>
    <w:rsid w:val="006C6E58"/>
    <w:rsid w:val="006D7F24"/>
    <w:rsid w:val="006E39BB"/>
    <w:rsid w:val="006F4117"/>
    <w:rsid w:val="00701575"/>
    <w:rsid w:val="00707CBE"/>
    <w:rsid w:val="007544E0"/>
    <w:rsid w:val="00754822"/>
    <w:rsid w:val="00762C38"/>
    <w:rsid w:val="00763B3C"/>
    <w:rsid w:val="0077748E"/>
    <w:rsid w:val="00783EC3"/>
    <w:rsid w:val="007B2F10"/>
    <w:rsid w:val="007C3858"/>
    <w:rsid w:val="007C7469"/>
    <w:rsid w:val="007D5489"/>
    <w:rsid w:val="007D7D7C"/>
    <w:rsid w:val="007F5DEB"/>
    <w:rsid w:val="00817ECA"/>
    <w:rsid w:val="0084463E"/>
    <w:rsid w:val="00851FB5"/>
    <w:rsid w:val="00862308"/>
    <w:rsid w:val="00866112"/>
    <w:rsid w:val="00875A1D"/>
    <w:rsid w:val="00894DFA"/>
    <w:rsid w:val="00896175"/>
    <w:rsid w:val="008A03FC"/>
    <w:rsid w:val="008B05B0"/>
    <w:rsid w:val="008B47A0"/>
    <w:rsid w:val="008B4E14"/>
    <w:rsid w:val="008C07B9"/>
    <w:rsid w:val="008F3F74"/>
    <w:rsid w:val="00900134"/>
    <w:rsid w:val="00900F72"/>
    <w:rsid w:val="00901E58"/>
    <w:rsid w:val="00914CD8"/>
    <w:rsid w:val="00920BA5"/>
    <w:rsid w:val="009213D5"/>
    <w:rsid w:val="00935F12"/>
    <w:rsid w:val="00936CA1"/>
    <w:rsid w:val="00946E5E"/>
    <w:rsid w:val="009544BB"/>
    <w:rsid w:val="00956B0D"/>
    <w:rsid w:val="00967D1D"/>
    <w:rsid w:val="00972A32"/>
    <w:rsid w:val="00977490"/>
    <w:rsid w:val="009927FE"/>
    <w:rsid w:val="009C0BA4"/>
    <w:rsid w:val="009C254E"/>
    <w:rsid w:val="009D7A83"/>
    <w:rsid w:val="009F29E4"/>
    <w:rsid w:val="009F65BE"/>
    <w:rsid w:val="00A01113"/>
    <w:rsid w:val="00A06683"/>
    <w:rsid w:val="00A3024C"/>
    <w:rsid w:val="00A30A13"/>
    <w:rsid w:val="00A44463"/>
    <w:rsid w:val="00A859F4"/>
    <w:rsid w:val="00A92CB6"/>
    <w:rsid w:val="00A92F96"/>
    <w:rsid w:val="00AB187F"/>
    <w:rsid w:val="00AB3E0E"/>
    <w:rsid w:val="00AD3122"/>
    <w:rsid w:val="00AE29D2"/>
    <w:rsid w:val="00AF7934"/>
    <w:rsid w:val="00B65530"/>
    <w:rsid w:val="00B80206"/>
    <w:rsid w:val="00B82857"/>
    <w:rsid w:val="00B86FA2"/>
    <w:rsid w:val="00BA1611"/>
    <w:rsid w:val="00BA2C24"/>
    <w:rsid w:val="00BB0A96"/>
    <w:rsid w:val="00BC62FF"/>
    <w:rsid w:val="00BC64C5"/>
    <w:rsid w:val="00BD5CE8"/>
    <w:rsid w:val="00BE5FBF"/>
    <w:rsid w:val="00C12D32"/>
    <w:rsid w:val="00C312AB"/>
    <w:rsid w:val="00C4411B"/>
    <w:rsid w:val="00C4487F"/>
    <w:rsid w:val="00C6450D"/>
    <w:rsid w:val="00C70B3E"/>
    <w:rsid w:val="00CA57D1"/>
    <w:rsid w:val="00CC1763"/>
    <w:rsid w:val="00CC3CAF"/>
    <w:rsid w:val="00D007A4"/>
    <w:rsid w:val="00D010A3"/>
    <w:rsid w:val="00D15DFC"/>
    <w:rsid w:val="00D31854"/>
    <w:rsid w:val="00D8102D"/>
    <w:rsid w:val="00D90FAA"/>
    <w:rsid w:val="00D96971"/>
    <w:rsid w:val="00DA26BB"/>
    <w:rsid w:val="00DA7B2C"/>
    <w:rsid w:val="00DC532C"/>
    <w:rsid w:val="00DE0F16"/>
    <w:rsid w:val="00DF29A7"/>
    <w:rsid w:val="00DF6F42"/>
    <w:rsid w:val="00E07375"/>
    <w:rsid w:val="00E12930"/>
    <w:rsid w:val="00E27F30"/>
    <w:rsid w:val="00E31E1B"/>
    <w:rsid w:val="00E45636"/>
    <w:rsid w:val="00E47311"/>
    <w:rsid w:val="00E476AC"/>
    <w:rsid w:val="00E701D7"/>
    <w:rsid w:val="00E71508"/>
    <w:rsid w:val="00E723F7"/>
    <w:rsid w:val="00E85996"/>
    <w:rsid w:val="00E91962"/>
    <w:rsid w:val="00E9478C"/>
    <w:rsid w:val="00E9539B"/>
    <w:rsid w:val="00EA5687"/>
    <w:rsid w:val="00EB40B4"/>
    <w:rsid w:val="00EC0AAF"/>
    <w:rsid w:val="00EC135C"/>
    <w:rsid w:val="00EE5E1F"/>
    <w:rsid w:val="00EF10CE"/>
    <w:rsid w:val="00EF1CC5"/>
    <w:rsid w:val="00EF25BD"/>
    <w:rsid w:val="00F01223"/>
    <w:rsid w:val="00F0514E"/>
    <w:rsid w:val="00F12209"/>
    <w:rsid w:val="00F3745C"/>
    <w:rsid w:val="00F37EB2"/>
    <w:rsid w:val="00F405B7"/>
    <w:rsid w:val="00F41C50"/>
    <w:rsid w:val="00F750BE"/>
    <w:rsid w:val="00F77823"/>
    <w:rsid w:val="00F91CCE"/>
    <w:rsid w:val="00F94BC0"/>
    <w:rsid w:val="00F961C4"/>
    <w:rsid w:val="00F9739B"/>
    <w:rsid w:val="00FA7193"/>
    <w:rsid w:val="00FB3048"/>
    <w:rsid w:val="00FB7EC7"/>
    <w:rsid w:val="00FD2B09"/>
    <w:rsid w:val="00FD7DB8"/>
    <w:rsid w:val="00FE5D04"/>
    <w:rsid w:val="79F34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qFormat/>
    <w:uiPriority w:val="0"/>
    <w:pPr>
      <w:shd w:val="clear" w:color="auto" w:fill="000080"/>
    </w:pPr>
  </w:style>
  <w:style w:type="paragraph" w:styleId="3">
    <w:name w:val="Balloon Text"/>
    <w:basedOn w:val="1"/>
    <w:link w:val="13"/>
    <w:semiHidden/>
    <w:unhideWhenUsed/>
    <w:qFormat/>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page number"/>
    <w:basedOn w:val="8"/>
    <w:uiPriority w:val="0"/>
  </w:style>
  <w:style w:type="character" w:customStyle="1" w:styleId="11">
    <w:name w:val="页眉 Char"/>
    <w:basedOn w:val="8"/>
    <w:link w:val="5"/>
    <w:qFormat/>
    <w:uiPriority w:val="0"/>
    <w:rPr>
      <w:sz w:val="18"/>
      <w:szCs w:val="18"/>
    </w:rPr>
  </w:style>
  <w:style w:type="character" w:customStyle="1" w:styleId="12">
    <w:name w:val="页脚 Char"/>
    <w:basedOn w:val="8"/>
    <w:link w:val="4"/>
    <w:uiPriority w:val="99"/>
    <w:rPr>
      <w:sz w:val="18"/>
      <w:szCs w:val="18"/>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paragraph" w:customStyle="1" w:styleId="14">
    <w:name w:val="Char Char Char Char"/>
    <w:basedOn w:val="2"/>
    <w:qFormat/>
    <w:uiPriority w:val="0"/>
    <w:pPr>
      <w:widowControl/>
      <w:ind w:firstLine="454"/>
      <w:jc w:val="left"/>
    </w:pPr>
    <w:rPr>
      <w:rFonts w:ascii="Tahoma" w:hAnsi="Tahoma" w:cs="宋体"/>
      <w:kern w:val="0"/>
      <w:szCs w:val="20"/>
    </w:rPr>
  </w:style>
  <w:style w:type="character" w:customStyle="1" w:styleId="15">
    <w:name w:val="文档结构图 Char"/>
    <w:basedOn w:val="8"/>
    <w:link w:val="2"/>
    <w:semiHidden/>
    <w:qFormat/>
    <w:uiPriority w:val="0"/>
    <w:rPr>
      <w:rFonts w:ascii="Times New Roman" w:hAnsi="Times New Roman" w:eastAsia="宋体" w:cs="Times New Roman"/>
      <w:szCs w:val="24"/>
      <w:shd w:val="clear" w:color="auto" w:fill="000080"/>
    </w:rPr>
  </w:style>
  <w:style w:type="paragraph" w:customStyle="1" w:styleId="16">
    <w:name w:val="Char"/>
    <w:basedOn w:val="1"/>
    <w:qFormat/>
    <w:uiPriority w:val="0"/>
    <w:rPr>
      <w:rFonts w:ascii="Tahoma" w:hAnsi="Tahoma"/>
      <w:sz w:val="24"/>
      <w:szCs w:val="20"/>
    </w:rPr>
  </w:style>
  <w:style w:type="paragraph" w:customStyle="1" w:styleId="17">
    <w:name w:val="p0"/>
    <w:basedOn w:val="1"/>
    <w:uiPriority w:val="0"/>
    <w:pPr>
      <w:widowControl/>
    </w:pPr>
    <w:rPr>
      <w:kern w:val="0"/>
      <w:szCs w:val="20"/>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35779816513762"/>
          <c:y val="0.0937500000000001"/>
          <c:w val="0.735779816513763"/>
          <c:h val="0.723214285714286"/>
        </c:manualLayout>
      </c:layout>
      <c:lineChart>
        <c:grouping val="standard"/>
        <c:varyColors val="0"/>
        <c:ser>
          <c:idx val="0"/>
          <c:order val="0"/>
          <c:tx>
            <c:strRef>
              <c:f>Sheet1!$A$2</c:f>
              <c:strCache>
                <c:ptCount val="1"/>
                <c:pt idx="0">
                  <c:v>求人倍率</c:v>
                </c:pt>
              </c:strCache>
            </c:strRef>
          </c:tx>
          <c:spPr>
            <a:ln w="12677" cap="rnd" cmpd="sng" algn="ctr">
              <a:solidFill>
                <a:srgbClr val="000080"/>
              </a:solidFill>
              <a:prstDash val="solid"/>
              <a:round/>
            </a:ln>
          </c:spPr>
          <c:marker>
            <c:symbol val="diamond"/>
            <c:size val="2"/>
            <c:spPr>
              <a:solidFill>
                <a:srgbClr val="000080"/>
              </a:solidFill>
              <a:ln w="9525" cap="flat" cmpd="sng" algn="ctr">
                <a:solidFill>
                  <a:srgbClr val="000080"/>
                </a:solidFill>
                <a:prstDash val="solid"/>
                <a:round/>
              </a:ln>
            </c:spPr>
          </c:marker>
          <c:dLbls>
            <c:delete val="1"/>
          </c:dLbls>
          <c:cat>
            <c:strRef>
              <c:f>Sheet1!$B$1:$G$1</c:f>
              <c:strCache>
                <c:ptCount val="6"/>
                <c:pt idx="0">
                  <c:v>一月</c:v>
                </c:pt>
                <c:pt idx="1">
                  <c:v>二月</c:v>
                </c:pt>
                <c:pt idx="2">
                  <c:v>三月</c:v>
                </c:pt>
                <c:pt idx="3">
                  <c:v>四月</c:v>
                </c:pt>
                <c:pt idx="4">
                  <c:v>五月</c:v>
                </c:pt>
                <c:pt idx="5">
                  <c:v>六月</c:v>
                </c:pt>
              </c:strCache>
            </c:strRef>
          </c:cat>
          <c:val>
            <c:numRef>
              <c:f>Sheet1!$B$2:$G$2</c:f>
              <c:numCache>
                <c:formatCode>General</c:formatCode>
                <c:ptCount val="6"/>
                <c:pt idx="0">
                  <c:v>1.27</c:v>
                </c:pt>
                <c:pt idx="1">
                  <c:v>1.25</c:v>
                </c:pt>
                <c:pt idx="2">
                  <c:v>1.24</c:v>
                </c:pt>
                <c:pt idx="3">
                  <c:v>1.23</c:v>
                </c:pt>
                <c:pt idx="4">
                  <c:v>1.21</c:v>
                </c:pt>
                <c:pt idx="5">
                  <c:v>1.2</c:v>
                </c:pt>
              </c:numCache>
            </c:numRef>
          </c:val>
          <c:smooth val="0"/>
        </c:ser>
        <c:dLbls>
          <c:showLegendKey val="0"/>
          <c:showVal val="0"/>
          <c:showCatName val="0"/>
          <c:showSerName val="0"/>
          <c:showPercent val="0"/>
          <c:showBubbleSize val="0"/>
        </c:dLbls>
        <c:marker val="1"/>
        <c:smooth val="0"/>
        <c:axId val="96307456"/>
        <c:axId val="96911744"/>
      </c:lineChart>
      <c:catAx>
        <c:axId val="96307456"/>
        <c:scaling>
          <c:orientation val="minMax"/>
        </c:scaling>
        <c:delete val="0"/>
        <c:axPos val="b"/>
        <c:numFmt formatCode="General" sourceLinked="1"/>
        <c:majorTickMark val="in"/>
        <c:minorTickMark val="none"/>
        <c:tickLblPos val="nextTo"/>
        <c:spPr>
          <a:ln w="3169" cap="flat" cmpd="sng" algn="ctr">
            <a:solidFill>
              <a:srgbClr val="000000"/>
            </a:solidFill>
            <a:prstDash val="solid"/>
            <a:round/>
          </a:ln>
        </c:spPr>
        <c:txPr>
          <a:bodyPr rot="0" spcFirstLastPara="0" vertOverflow="ellipsis" vert="horz" wrap="square" anchor="ctr" anchorCtr="1"/>
          <a:lstStyle/>
          <a:p>
            <a:pPr>
              <a:defRPr lang="zh-CN" sz="11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96911744"/>
        <c:crosses val="autoZero"/>
        <c:auto val="1"/>
        <c:lblAlgn val="ctr"/>
        <c:lblOffset val="100"/>
        <c:tickLblSkip val="1"/>
        <c:noMultiLvlLbl val="0"/>
      </c:catAx>
      <c:valAx>
        <c:axId val="96911744"/>
        <c:scaling>
          <c:orientation val="minMax"/>
        </c:scaling>
        <c:delete val="0"/>
        <c:axPos val="l"/>
        <c:majorGridlines>
          <c:spPr>
            <a:ln w="3169" cap="flat" cmpd="sng" algn="ctr">
              <a:solidFill>
                <a:srgbClr val="000000"/>
              </a:solidFill>
              <a:prstDash val="solid"/>
              <a:round/>
            </a:ln>
          </c:spPr>
        </c:majorGridlines>
        <c:numFmt formatCode="General" sourceLinked="1"/>
        <c:majorTickMark val="in"/>
        <c:minorTickMark val="none"/>
        <c:tickLblPos val="nextTo"/>
        <c:spPr>
          <a:ln w="3169"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96307456"/>
        <c:crosses val="autoZero"/>
        <c:crossBetween val="between"/>
      </c:valAx>
      <c:spPr>
        <a:solidFill>
          <a:srgbClr val="FFFFFF"/>
        </a:solidFill>
        <a:ln w="12677">
          <a:solidFill>
            <a:srgbClr val="808080"/>
          </a:solidFill>
          <a:prstDash val="solid"/>
        </a:ln>
      </c:spPr>
    </c:plotArea>
    <c:legend>
      <c:legendPos val="r"/>
      <c:layout>
        <c:manualLayout>
          <c:xMode val="edge"/>
          <c:yMode val="edge"/>
          <c:x val="0.847706422018349"/>
          <c:y val="0.415178571428572"/>
          <c:w val="0.144954128440367"/>
          <c:h val="0.0758928571428571"/>
        </c:manualLayout>
      </c:layout>
      <c:overlay val="0"/>
      <c:spPr>
        <a:noFill/>
        <a:ln w="3169">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11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1240</Words>
  <Characters>7074</Characters>
  <Lines>58</Lines>
  <Paragraphs>16</Paragraphs>
  <TotalTime>2206</TotalTime>
  <ScaleCrop>false</ScaleCrop>
  <LinksUpToDate>false</LinksUpToDate>
  <CharactersWithSpaces>8298</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2020-03-24T01:17:00Z</dcterms:created>
  <dc:creator>User</dc:creator>
  <cp:lastModifiedBy>Icemaples</cp:lastModifiedBy>
  <dcterms:modified xsi:type="dcterms:W3CDTF">2021-07-28T07:34:19Z</dcterms:modified>
  <cp:revision>289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CFC0FF23658C4DEEAF022063A6239A76</vt:lpwstr>
  </property>
</Properties>
</file>