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w:t>
      </w:r>
      <w:r>
        <w:rPr>
          <w:rFonts w:hint="eastAsia" w:ascii="方正小标宋简体" w:hAnsi="方正小标宋简体" w:eastAsia="方正小标宋简体" w:cs="方正小标宋简体"/>
          <w:b w:val="0"/>
          <w:bCs/>
          <w:sz w:val="44"/>
          <w:szCs w:val="44"/>
        </w:rPr>
        <w:t>21</w:t>
      </w:r>
      <w:r>
        <w:rPr>
          <w:rFonts w:hint="eastAsia" w:ascii="方正小标宋简体" w:hAnsi="方正小标宋简体" w:eastAsia="方正小标宋简体" w:cs="方正小标宋简体"/>
          <w:b w:val="0"/>
          <w:bCs/>
          <w:sz w:val="44"/>
          <w:szCs w:val="44"/>
        </w:rPr>
        <w:t>年第四季度</w:t>
      </w:r>
      <w:r>
        <w:rPr>
          <w:rFonts w:hint="eastAsia" w:ascii="方正小标宋简体" w:hAnsi="方正小标宋简体" w:eastAsia="方正小标宋简体" w:cs="方正小标宋简体"/>
          <w:b w:val="0"/>
          <w:bCs/>
          <w:sz w:val="44"/>
          <w:szCs w:val="44"/>
        </w:rPr>
        <w:t>张家港市人力资源市场</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sz w:val="24"/>
        </w:rPr>
      </w:pPr>
      <w:r>
        <w:rPr>
          <w:rFonts w:hint="eastAsia" w:ascii="方正小标宋简体" w:hAnsi="方正小标宋简体" w:eastAsia="方正小标宋简体" w:cs="方正小标宋简体"/>
          <w:b w:val="0"/>
          <w:bCs/>
          <w:sz w:val="44"/>
          <w:szCs w:val="44"/>
        </w:rPr>
        <w:t>供求状况分析</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张家港市人力资源管理服务中心</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kern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一、人力资源市场总体数据概况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四季度，我市人力资源市场共提供岗位需求38794个次，求职者31541人次，求人倍率约为1.23，求人倍率较2020年同期基本持平，四季度我市人力资源市场、各镇（区）人力资源市场正常开展线上和线下招聘，本期数据主要来源于全市现场招聘会以及张家港市人才网站采集的供求状况信息，均为有效数据。</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二、供求总体情况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（一）供求总体状况：</w:t>
      </w:r>
      <w:r>
        <w:rPr>
          <w:rFonts w:hint="eastAsia" w:ascii="仿宋_GB2312" w:hAnsi="仿宋_GB2312" w:eastAsia="仿宋_GB2312" w:cs="仿宋_GB2312"/>
          <w:kern w:val="0"/>
          <w:sz w:val="32"/>
          <w:szCs w:val="32"/>
        </w:rPr>
        <w:t>本季度需求人数38794人，与去年同期相比增加18424人，增幅为90.4%。求职人数为31541人，与去年同期相比增加15155人，增幅为92.5%，比去年因新冠疫情影响本季度需求人数和求职人数比去年同期明显上升，本季度因市人力资源市场升级改造主要以线上招聘为主。</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表</w:t>
      </w:r>
      <w:r>
        <w:rPr>
          <w:rFonts w:ascii="宋体" w:hAnsi="宋体"/>
          <w:szCs w:val="21"/>
        </w:rPr>
        <w:t>1</w:t>
      </w:r>
      <w:r>
        <w:rPr>
          <w:rFonts w:hint="eastAsia" w:ascii="宋体" w:hAnsi="宋体"/>
          <w:szCs w:val="21"/>
        </w:rPr>
        <w:t>. 供求总体情况</w:t>
      </w:r>
    </w:p>
    <w:tbl>
      <w:tblPr>
        <w:tblStyle w:val="6"/>
        <w:tblW w:w="0" w:type="auto"/>
        <w:jc w:val="center"/>
        <w:tblLayout w:type="autofit"/>
        <w:tblCellMar>
          <w:top w:w="0" w:type="dxa"/>
          <w:left w:w="0" w:type="dxa"/>
          <w:bottom w:w="0" w:type="dxa"/>
          <w:right w:w="0" w:type="dxa"/>
        </w:tblCellMar>
      </w:tblPr>
      <w:tblGrid>
        <w:gridCol w:w="1347"/>
        <w:gridCol w:w="1607"/>
        <w:gridCol w:w="1585"/>
        <w:gridCol w:w="1500"/>
      </w:tblGrid>
      <w:tr>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420"/>
              <w:jc w:val="center"/>
              <w:textAlignment w:val="auto"/>
              <w:rPr>
                <w:rFonts w:ascii="宋体" w:hAnsi="宋体" w:cs="宋体"/>
                <w:kern w:val="0"/>
                <w:szCs w:val="21"/>
              </w:rPr>
            </w:pPr>
            <w:r>
              <w:rPr>
                <w:rFonts w:ascii="宋体" w:hAnsi="宋体" w:cs="宋体"/>
                <w:kern w:val="0"/>
                <w:szCs w:val="21"/>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本季度求人倍率</w:t>
            </w:r>
          </w:p>
        </w:tc>
      </w:tr>
      <w:tr>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本期</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sz w:val="20"/>
                <w:szCs w:val="20"/>
              </w:rPr>
            </w:pPr>
            <w:r>
              <w:rPr>
                <w:rFonts w:hint="eastAsia"/>
                <w:b/>
                <w:bCs/>
                <w:sz w:val="20"/>
                <w:szCs w:val="20"/>
              </w:rPr>
              <w:t>38794</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sz w:val="20"/>
                <w:szCs w:val="20"/>
              </w:rPr>
            </w:pPr>
            <w:r>
              <w:rPr>
                <w:rFonts w:hint="eastAsia"/>
                <w:b/>
                <w:bCs/>
                <w:sz w:val="20"/>
                <w:szCs w:val="20"/>
              </w:rPr>
              <w:t>31541</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0"/>
                <w:szCs w:val="20"/>
              </w:rPr>
            </w:pPr>
            <w:r>
              <w:rPr>
                <w:rFonts w:hint="eastAsia"/>
                <w:sz w:val="20"/>
                <w:szCs w:val="20"/>
              </w:rPr>
              <w:t xml:space="preserve">1.23 </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textAlignment w:val="auto"/>
        <w:rPr>
          <w:rFonts w:ascii="宋体" w:hAnsi="宋体"/>
          <w:color w:val="FF0000"/>
          <w:szCs w:val="21"/>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（二）分产业、行业劳动力需求</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从产业分组情况看，第一产业本季度为0；第二产业本季需求数为26809人，占总需求的69.73%，第三产业本季需求数为11985人，占总需求的30.25%。</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第一产业始终为0，第二产业居人力资源市场需求的主导地位，我市用工需求主要集中在生产性企业中，第三产业比重较三季度略有下降。</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表2. 按产业分组的需求人数</w:t>
      </w:r>
    </w:p>
    <w:tbl>
      <w:tblPr>
        <w:tblStyle w:val="6"/>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26809</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69.75%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11985</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30.25%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38794</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100.00%</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textAlignment w:val="auto"/>
        <w:rPr>
          <w:rFonts w:ascii="宋体" w:hAnsi="宋体"/>
          <w:color w:val="FF0000"/>
          <w:szCs w:val="21"/>
        </w:rPr>
      </w:pPr>
      <w:r>
        <w:rPr>
          <w:rFonts w:hint="eastAsia" w:ascii="宋体" w:hAnsi="宋体"/>
          <w:color w:val="FF0000"/>
          <w:szCs w:val="21"/>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从行业需求来看，本季度66.73%的用人需求集中在制造业，其次为信息传输、计算机服务和软件业，占总需求的9.30%，再次为批发和零售业，占总需求的7.16%。</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b w:val="0"/>
          <w:bCs w:val="0"/>
          <w:kern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_GB2312" w:hAnsi="仿宋_GB2312" w:eastAsia="仿宋_GB2312" w:cs="仿宋_GB2312"/>
          <w:b w:val="0"/>
          <w:bCs w:val="0"/>
          <w:kern w:val="0"/>
          <w:sz w:val="32"/>
          <w:szCs w:val="32"/>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表3</w:t>
      </w:r>
      <w:r>
        <w:rPr>
          <w:rFonts w:ascii="宋体" w:hAnsi="宋体"/>
          <w:szCs w:val="21"/>
        </w:rPr>
        <w:t>. 按行业分组的需求人数</w:t>
      </w:r>
    </w:p>
    <w:tbl>
      <w:tblPr>
        <w:tblStyle w:val="6"/>
        <w:tblW w:w="3560" w:type="pct"/>
        <w:tblCellSpacing w:w="0"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autofit"/>
        <w:tblCellMar>
          <w:top w:w="0" w:type="dxa"/>
          <w:left w:w="0" w:type="dxa"/>
          <w:bottom w:w="0" w:type="dxa"/>
          <w:right w:w="0" w:type="dxa"/>
        </w:tblCellMar>
      </w:tblPr>
      <w:tblGrid>
        <w:gridCol w:w="3695"/>
        <w:gridCol w:w="1351"/>
        <w:gridCol w:w="1301"/>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行业</w:t>
            </w:r>
          </w:p>
        </w:tc>
        <w:tc>
          <w:tcPr>
            <w:tcW w:w="1064" w:type="pct"/>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 (人)</w:t>
            </w:r>
          </w:p>
        </w:tc>
        <w:tc>
          <w:tcPr>
            <w:tcW w:w="1025"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本季度需求所占比</w:t>
            </w:r>
            <w:r>
              <w:rPr>
                <w:rFonts w:hint="eastAsia" w:ascii="宋体" w:hAnsi="宋体" w:cs="宋体"/>
                <w:kern w:val="0"/>
                <w:szCs w:val="21"/>
              </w:rPr>
              <w:br w:type="textWrapping"/>
            </w:r>
            <w:r>
              <w:rPr>
                <w:rFonts w:hint="eastAsia" w:ascii="宋体" w:hAnsi="宋体" w:cs="宋体"/>
                <w:kern w:val="0"/>
                <w:szCs w:val="21"/>
              </w:rPr>
              <w:t>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农、林、牧、渔业</w:t>
            </w:r>
          </w:p>
        </w:tc>
        <w:tc>
          <w:tcPr>
            <w:tcW w:w="1064"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采矿业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制造业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25886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66.73%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电力、燃气及水的生产和供应业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82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0.21%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建筑业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536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1.38%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交通运输、仓储和邮政业</w:t>
            </w:r>
          </w:p>
        </w:tc>
        <w:tc>
          <w:tcPr>
            <w:tcW w:w="1064" w:type="pct"/>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296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0.76%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信息传输、计算机服务和软件业</w:t>
            </w:r>
          </w:p>
        </w:tc>
        <w:tc>
          <w:tcPr>
            <w:tcW w:w="1064"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3608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9.30%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批发和零售业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2778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7.16%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住宿和餐饮业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1752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4.52%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金融业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117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0.30%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房地产业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105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0.27%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租赁和商务服务业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113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0.29%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科学研究、技术服务和地质勘查业</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52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0.13%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水利、环境和公共设施管理业</w:t>
            </w:r>
          </w:p>
        </w:tc>
        <w:tc>
          <w:tcPr>
            <w:tcW w:w="1064"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125 </w:t>
            </w:r>
          </w:p>
        </w:tc>
        <w:tc>
          <w:tcPr>
            <w:tcW w:w="1025"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0.32%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居民服务和其他服务业</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2142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5.52%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教育</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446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卫生、社会保障和社会福利业</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419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文化、体育和娱乐业</w:t>
            </w:r>
          </w:p>
        </w:tc>
        <w:tc>
          <w:tcPr>
            <w:tcW w:w="1064"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121 </w:t>
            </w:r>
          </w:p>
        </w:tc>
        <w:tc>
          <w:tcPr>
            <w:tcW w:w="1025"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0.31%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公共管理与社会组织</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216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0.56%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国际组织</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合计</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38794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textAlignment w:val="auto"/>
        <w:rPr>
          <w:rFonts w:ascii="宋体" w:hAnsi="宋体"/>
          <w:color w:val="FF0000"/>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（三）用人单位需求情况</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kern w:val="0"/>
          <w:sz w:val="32"/>
          <w:szCs w:val="32"/>
        </w:rPr>
        <w:t>按不同的经济类型单位需求情况看，本季度企业需求人数为38794人。企业中需求人数所占比重最多的是内资企业，共36266人，占企业总数的93.48%，内资企业中用工需求主要集中在有限责任公司、私营企业、股份有限公司。</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cs="宋体"/>
          <w:kern w:val="0"/>
          <w:sz w:val="22"/>
          <w:szCs w:val="22"/>
        </w:rPr>
      </w:pPr>
      <w:r>
        <w:rPr>
          <w:rFonts w:hint="eastAsia" w:ascii="宋体" w:hAnsi="宋体" w:cs="宋体"/>
          <w:kern w:val="0"/>
          <w:sz w:val="22"/>
          <w:szCs w:val="22"/>
        </w:rPr>
        <w:t>表4. 按经济类型分组的需求人数</w:t>
      </w:r>
    </w:p>
    <w:tbl>
      <w:tblPr>
        <w:tblStyle w:val="6"/>
        <w:tblW w:w="3357" w:type="pct"/>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autofit"/>
        <w:tblCellMar>
          <w:top w:w="0" w:type="dxa"/>
          <w:left w:w="0" w:type="dxa"/>
          <w:bottom w:w="0" w:type="dxa"/>
          <w:right w:w="0" w:type="dxa"/>
        </w:tblCellMar>
      </w:tblPr>
      <w:tblGrid>
        <w:gridCol w:w="2725"/>
        <w:gridCol w:w="1541"/>
        <w:gridCol w:w="1720"/>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2"/>
              </w:rPr>
              <w:t>经济类型</w:t>
            </w:r>
          </w:p>
        </w:tc>
        <w:tc>
          <w:tcPr>
            <w:tcW w:w="128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szCs w:val="21"/>
              </w:rPr>
            </w:pPr>
            <w:r>
              <w:rPr>
                <w:rFonts w:hint="eastAsia"/>
                <w:szCs w:val="21"/>
              </w:rPr>
              <w:t>本季度</w:t>
            </w:r>
          </w:p>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Cs w:val="21"/>
              </w:rPr>
            </w:pPr>
            <w:r>
              <w:rPr>
                <w:rFonts w:hint="eastAsia"/>
                <w:szCs w:val="21"/>
              </w:rPr>
              <w:t>需求人数 (人)</w:t>
            </w:r>
          </w:p>
        </w:tc>
        <w:tc>
          <w:tcPr>
            <w:tcW w:w="143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Cs w:val="21"/>
              </w:rPr>
            </w:pPr>
            <w:r>
              <w:rPr>
                <w:rFonts w:hint="eastAsia"/>
                <w:szCs w:val="21"/>
              </w:rPr>
              <w:t>本季度需求所占比重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rPr>
              <w:t>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bottom"/>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38794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100.00%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2"/>
              </w:rPr>
              <w:t>其中：内资企业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36266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93.48%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国有企业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548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1.41%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集体企业</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742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1.91%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股份合作企业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2928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7.55%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联营企业</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457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1.18%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有限责任公司</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15722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40.53%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股份有限公司</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6939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17.89%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私营企业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5246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13.52%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1100"/>
              <w:jc w:val="center"/>
              <w:textAlignment w:val="auto"/>
              <w:rPr>
                <w:rFonts w:ascii="宋体" w:hAnsi="宋体" w:cs="宋体"/>
                <w:kern w:val="0"/>
                <w:szCs w:val="21"/>
              </w:rPr>
            </w:pPr>
            <w:r>
              <w:rPr>
                <w:rFonts w:hint="eastAsia" w:ascii="宋体" w:hAnsi="宋体" w:cs="宋体"/>
                <w:kern w:val="0"/>
                <w:szCs w:val="22"/>
              </w:rPr>
              <w:t>其它企业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3684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9.50%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2"/>
              </w:rPr>
              <w:t>港、澳、台投资企业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1412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3.64%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2"/>
              </w:rPr>
              <w:t>外商投资企业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4"/>
              </w:rPr>
            </w:pPr>
            <w:r>
              <w:rPr>
                <w:rFonts w:hint="eastAsia"/>
                <w:color w:val="FF0000"/>
              </w:rPr>
              <w:t xml:space="preserve">764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1.97%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firstLine="660"/>
              <w:jc w:val="center"/>
              <w:textAlignment w:val="auto"/>
              <w:rPr>
                <w:rFonts w:ascii="宋体" w:hAnsi="宋体" w:cs="宋体"/>
                <w:kern w:val="0"/>
                <w:szCs w:val="21"/>
              </w:rPr>
            </w:pPr>
            <w:r>
              <w:rPr>
                <w:rFonts w:hint="eastAsia" w:ascii="宋体" w:hAnsi="宋体" w:cs="宋体"/>
                <w:kern w:val="0"/>
                <w:szCs w:val="22"/>
              </w:rPr>
              <w:t>个体经营</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352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0.91%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rPr>
              <w:t>事业</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0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rPr>
              <w:t>机关</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0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rPr>
              <w:t>其他</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 xml:space="preserve">0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rPr>
              <w:t>合计</w:t>
            </w:r>
          </w:p>
        </w:tc>
        <w:tc>
          <w:tcPr>
            <w:tcW w:w="1287"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38794</w:t>
            </w:r>
          </w:p>
        </w:tc>
        <w:tc>
          <w:tcPr>
            <w:tcW w:w="1437"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4"/>
              </w:rPr>
            </w:pPr>
            <w:r>
              <w:rPr>
                <w:rFonts w:hint="eastAsia"/>
              </w:rPr>
              <w:t>100.00%</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420" w:firstLineChars="200"/>
        <w:textAlignment w:val="auto"/>
        <w:rPr>
          <w:rFonts w:ascii="宋体" w:hAnsi="宋体"/>
          <w:color w:val="FF0000"/>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（四）按职业供求情况分析</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从职业供求情况来看，操作工需求和求职人数最多，比重均最大，超过一半，从数量上缺口也最大。求人倍率最大的是商业和服务人员，其次是生产运输设备操作工，最小的是其他人员人。这一情况与去年同期及上期供求情况有所变化，本期第三产业求职人员减少，专业技术人员求职人员有所增加。</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 xml:space="preserve">表5. </w:t>
      </w:r>
      <w:r>
        <w:rPr>
          <w:rFonts w:ascii="宋体" w:hAnsi="宋体"/>
          <w:szCs w:val="21"/>
        </w:rPr>
        <w:t>按职业分组的供求人数</w:t>
      </w:r>
    </w:p>
    <w:tbl>
      <w:tblPr>
        <w:tblStyle w:val="6"/>
        <w:tblW w:w="4068" w:type="pct"/>
        <w:tblInd w:w="0" w:type="dxa"/>
        <w:tblLayout w:type="autofit"/>
        <w:tblCellMar>
          <w:top w:w="0" w:type="dxa"/>
          <w:left w:w="0" w:type="dxa"/>
          <w:bottom w:w="0" w:type="dxa"/>
          <w:right w:w="0" w:type="dxa"/>
        </w:tblCellMar>
      </w:tblPr>
      <w:tblGrid>
        <w:gridCol w:w="2093"/>
        <w:gridCol w:w="863"/>
        <w:gridCol w:w="1005"/>
        <w:gridCol w:w="862"/>
        <w:gridCol w:w="1005"/>
        <w:gridCol w:w="1105"/>
      </w:tblGrid>
      <w:tr>
        <w:tblPrEx>
          <w:tblCellMar>
            <w:top w:w="0" w:type="dxa"/>
            <w:left w:w="0" w:type="dxa"/>
            <w:bottom w:w="0" w:type="dxa"/>
            <w:right w:w="0" w:type="dxa"/>
          </w:tblCellMar>
        </w:tblPrEx>
        <w:trPr>
          <w:cantSplit/>
          <w:trHeight w:val="397" w:hRule="atLeast"/>
        </w:trPr>
        <w:tc>
          <w:tcPr>
            <w:tcW w:w="1509" w:type="pct"/>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1"/>
              </w:rPr>
              <w:t>职业类别</w:t>
            </w:r>
          </w:p>
        </w:tc>
        <w:tc>
          <w:tcPr>
            <w:tcW w:w="3491"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1"/>
              </w:rPr>
              <w:t>劳动力供求人数比较</w:t>
            </w:r>
          </w:p>
        </w:tc>
      </w:tr>
      <w:tr>
        <w:tblPrEx>
          <w:tblCellMar>
            <w:top w:w="0" w:type="dxa"/>
            <w:left w:w="0" w:type="dxa"/>
            <w:bottom w:w="0" w:type="dxa"/>
            <w:right w:w="0" w:type="dxa"/>
          </w:tblCellMar>
        </w:tblPrEx>
        <w:trPr>
          <w:cantSplit/>
          <w:trHeight w:val="397" w:hRule="atLeast"/>
        </w:trPr>
        <w:tc>
          <w:tcPr>
            <w:tcW w:w="1509" w:type="pct"/>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p>
        </w:tc>
        <w:tc>
          <w:tcPr>
            <w:tcW w:w="62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需求人数（人）</w:t>
            </w:r>
          </w:p>
        </w:tc>
        <w:tc>
          <w:tcPr>
            <w:tcW w:w="725"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需求比重  （%）</w:t>
            </w:r>
          </w:p>
        </w:tc>
        <w:tc>
          <w:tcPr>
            <w:tcW w:w="62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求职人数  （人）</w:t>
            </w:r>
          </w:p>
        </w:tc>
        <w:tc>
          <w:tcPr>
            <w:tcW w:w="725"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求职比重  （%）</w:t>
            </w:r>
          </w:p>
        </w:tc>
        <w:tc>
          <w:tcPr>
            <w:tcW w:w="79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求人倍率</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单位负责人</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106</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0.27%</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92</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0.29%</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 xml:space="preserve">1.15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专业技术人员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3608</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9.30%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3003</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9.52%</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 xml:space="preserve">1.20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办事人员和有关人员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2272</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5.86%</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1886</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5.98%</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 xml:space="preserve">1.20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商业和服务业人员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4830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12.45%</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3576</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11.34%</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1.35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 w:val="18"/>
                <w:szCs w:val="18"/>
              </w:rPr>
            </w:pPr>
            <w:r>
              <w:rPr>
                <w:rFonts w:hint="eastAsia" w:ascii="仿宋_GB2312" w:hAnsi="Verdana" w:cs="宋体"/>
                <w:kern w:val="0"/>
                <w:sz w:val="18"/>
                <w:szCs w:val="18"/>
              </w:rPr>
              <w:t>农林牧渔水利生产人员</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生产运输设备操作工</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25886</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66.73%</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21169</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67.12%</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FF0000"/>
                <w:sz w:val="22"/>
                <w:szCs w:val="22"/>
              </w:rPr>
            </w:pPr>
            <w:r>
              <w:rPr>
                <w:rFonts w:hint="eastAsia"/>
                <w:color w:val="FF0000"/>
                <w:sz w:val="22"/>
                <w:szCs w:val="22"/>
              </w:rPr>
              <w:t xml:space="preserve">1.22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其他</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2092</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5.39%</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1815</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5.75%</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 xml:space="preserve">1.15 </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无要求</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r>
      <w:tr>
        <w:tblPrEx>
          <w:tblCellMar>
            <w:top w:w="0" w:type="dxa"/>
            <w:left w:w="0" w:type="dxa"/>
            <w:bottom w:w="0" w:type="dxa"/>
            <w:right w:w="0" w:type="dxa"/>
          </w:tblCellMar>
        </w:tblPrEx>
        <w:trPr>
          <w:trHeight w:val="630" w:hRule="atLeast"/>
        </w:trPr>
        <w:tc>
          <w:tcPr>
            <w:tcW w:w="1509"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合计</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38794</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100.00%</w:t>
            </w:r>
          </w:p>
        </w:tc>
        <w:tc>
          <w:tcPr>
            <w:tcW w:w="62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31541</w:t>
            </w:r>
          </w:p>
        </w:tc>
        <w:tc>
          <w:tcPr>
            <w:tcW w:w="725"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100.00%</w:t>
            </w:r>
          </w:p>
        </w:tc>
        <w:tc>
          <w:tcPr>
            <w:tcW w:w="798"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 xml:space="preserve">1.23 </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color w:val="FF0000"/>
          <w:szCs w:val="21"/>
        </w:rPr>
      </w:pPr>
    </w:p>
    <w:tbl>
      <w:tblPr>
        <w:tblStyle w:val="6"/>
        <w:tblW w:w="9673" w:type="dxa"/>
        <w:tblInd w:w="93" w:type="dxa"/>
        <w:tblLayout w:type="autofit"/>
        <w:tblCellMar>
          <w:top w:w="0" w:type="dxa"/>
          <w:left w:w="108" w:type="dxa"/>
          <w:bottom w:w="0" w:type="dxa"/>
          <w:right w:w="108" w:type="dxa"/>
        </w:tblCellMar>
      </w:tblPr>
      <w:tblGrid>
        <w:gridCol w:w="9673"/>
      </w:tblGrid>
      <w:tr>
        <w:tblPrEx>
          <w:tblCellMar>
            <w:top w:w="0" w:type="dxa"/>
            <w:left w:w="108" w:type="dxa"/>
            <w:bottom w:w="0" w:type="dxa"/>
            <w:right w:w="108" w:type="dxa"/>
          </w:tblCellMar>
        </w:tblPrEx>
        <w:trPr>
          <w:trHeight w:val="855" w:hRule="atLeast"/>
        </w:trPr>
        <w:tc>
          <w:tcPr>
            <w:tcW w:w="9673" w:type="dxa"/>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表6 需求大于求职缺口最大的前十个职业</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olor w:val="FF0000"/>
                <w:szCs w:val="21"/>
              </w:rPr>
            </w:pPr>
          </w:p>
          <w:tbl>
            <w:tblPr>
              <w:tblStyle w:val="6"/>
              <w:tblW w:w="9447" w:type="dxa"/>
              <w:tblInd w:w="0" w:type="dxa"/>
              <w:tblLayout w:type="autofit"/>
              <w:tblCellMar>
                <w:top w:w="0" w:type="dxa"/>
                <w:left w:w="108" w:type="dxa"/>
                <w:bottom w:w="0" w:type="dxa"/>
                <w:right w:w="108" w:type="dxa"/>
              </w:tblCellMar>
            </w:tblPr>
            <w:tblGrid>
              <w:gridCol w:w="458"/>
              <w:gridCol w:w="1996"/>
              <w:gridCol w:w="1593"/>
              <w:gridCol w:w="1620"/>
              <w:gridCol w:w="1440"/>
              <w:gridCol w:w="1080"/>
              <w:gridCol w:w="1260"/>
            </w:tblGrid>
            <w:tr>
              <w:tblPrEx>
                <w:tblCellMar>
                  <w:top w:w="0" w:type="dxa"/>
                  <w:left w:w="108" w:type="dxa"/>
                  <w:bottom w:w="0" w:type="dxa"/>
                  <w:right w:w="108" w:type="dxa"/>
                </w:tblCellMar>
              </w:tblPrEx>
              <w:trPr>
                <w:trHeight w:val="402" w:hRule="atLeast"/>
              </w:trPr>
              <w:tc>
                <w:tcPr>
                  <w:tcW w:w="2454"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职业</w:t>
                  </w:r>
                </w:p>
              </w:tc>
              <w:tc>
                <w:tcPr>
                  <w:tcW w:w="15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职业代码</w:t>
                  </w:r>
                </w:p>
              </w:tc>
              <w:tc>
                <w:tcPr>
                  <w:tcW w:w="5400"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劳动力供求人数比较</w:t>
                  </w:r>
                </w:p>
              </w:tc>
            </w:tr>
            <w:tr>
              <w:tblPrEx>
                <w:tblCellMar>
                  <w:top w:w="0" w:type="dxa"/>
                  <w:left w:w="108" w:type="dxa"/>
                  <w:bottom w:w="0" w:type="dxa"/>
                  <w:right w:w="108" w:type="dxa"/>
                </w:tblCellMar>
              </w:tblPrEx>
              <w:trPr>
                <w:trHeight w:val="402" w:hRule="atLeast"/>
              </w:trPr>
              <w:tc>
                <w:tcPr>
                  <w:tcW w:w="2454"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b/>
                      <w:bCs/>
                      <w:kern w:val="0"/>
                      <w:sz w:val="24"/>
                    </w:rPr>
                  </w:pPr>
                </w:p>
              </w:tc>
              <w:tc>
                <w:tcPr>
                  <w:tcW w:w="15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b/>
                      <w:bCs/>
                      <w:kern w:val="0"/>
                      <w:sz w:val="24"/>
                    </w:rPr>
                  </w:pP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需求人数</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求职人数</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缺口数</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求人倍率</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1</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焊工</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6-18-02-04</w:t>
                  </w: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736</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548</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188</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1.34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2</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纺纱人员</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6-04-02</w:t>
                  </w: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672</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427</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245</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1.57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3</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缝纫工</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6-05-01-03</w:t>
                  </w: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549</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425</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124</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1.29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4</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电子器件制造人员</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6-25-02</w:t>
                  </w:r>
                </w:p>
              </w:tc>
              <w:tc>
                <w:tcPr>
                  <w:tcW w:w="1620" w:type="dxa"/>
                  <w:tcBorders>
                    <w:top w:val="nil"/>
                    <w:left w:val="nil"/>
                    <w:bottom w:val="nil"/>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521</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395</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126</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1.32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5</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车工</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6-18-01-01</w:t>
                  </w:r>
                </w:p>
              </w:tc>
              <w:tc>
                <w:tcPr>
                  <w:tcW w:w="162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493</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387</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106</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1.27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6</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钳工</w:t>
                  </w:r>
                </w:p>
              </w:tc>
              <w:tc>
                <w:tcPr>
                  <w:tcW w:w="1593"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2-06-03-00</w:t>
                  </w:r>
                </w:p>
              </w:tc>
              <w:tc>
                <w:tcPr>
                  <w:tcW w:w="1620" w:type="dxa"/>
                  <w:tcBorders>
                    <w:top w:val="nil"/>
                    <w:left w:val="single" w:color="auto" w:sz="4" w:space="0"/>
                    <w:bottom w:val="nil"/>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475</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376</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99</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1.26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7</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冲压工</w:t>
                  </w:r>
                </w:p>
              </w:tc>
              <w:tc>
                <w:tcPr>
                  <w:tcW w:w="159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6-18-01-12</w:t>
                  </w:r>
                </w:p>
              </w:tc>
              <w:tc>
                <w:tcPr>
                  <w:tcW w:w="162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432</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345</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87</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1.25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8</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铣工</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6-18-01-02</w:t>
                  </w: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348</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281</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67</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1.24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9</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装配工</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6-26-01</w:t>
                  </w: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337</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277</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60</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1.22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10</w:t>
                  </w:r>
                </w:p>
              </w:tc>
              <w:tc>
                <w:tcPr>
                  <w:tcW w:w="199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商品营业员</w:t>
                  </w:r>
                </w:p>
              </w:tc>
              <w:tc>
                <w:tcPr>
                  <w:tcW w:w="1593"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4-01-02-03</w:t>
                  </w:r>
                </w:p>
              </w:tc>
              <w:tc>
                <w:tcPr>
                  <w:tcW w:w="16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326</w:t>
                  </w:r>
                </w:p>
              </w:tc>
              <w:tc>
                <w:tcPr>
                  <w:tcW w:w="14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259</w:t>
                  </w:r>
                </w:p>
              </w:tc>
              <w:tc>
                <w:tcPr>
                  <w:tcW w:w="10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67</w:t>
                  </w:r>
                </w:p>
              </w:tc>
              <w:tc>
                <w:tcPr>
                  <w:tcW w:w="12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1.26 </w:t>
                  </w:r>
                </w:p>
              </w:tc>
            </w:tr>
          </w:tbl>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color w:val="FF0000"/>
                <w:kern w:val="0"/>
                <w:sz w:val="30"/>
                <w:szCs w:val="30"/>
              </w:rPr>
            </w:pPr>
          </w:p>
        </w:tc>
      </w:tr>
    </w:tbl>
    <w:p>
      <w:pPr>
        <w:keepNext w:val="0"/>
        <w:keepLines w:val="0"/>
        <w:pageBreakBefore w:val="0"/>
        <w:widowControl/>
        <w:kinsoku/>
        <w:wordWrap/>
        <w:overflowPunct/>
        <w:topLinePunct w:val="0"/>
        <w:autoSpaceDE/>
        <w:autoSpaceDN/>
        <w:bidi w:val="0"/>
        <w:spacing w:beforeAutospacing="0" w:afterAutospacing="0" w:line="560" w:lineRule="exact"/>
        <w:ind w:right="0" w:rightChars="0" w:firstLine="640" w:firstLineChars="200"/>
        <w:jc w:val="left"/>
        <w:textAlignment w:val="auto"/>
        <w:rPr>
          <w:rFonts w:ascii="宋体" w:hAnsi="宋体" w:cs="宋体"/>
          <w:kern w:val="0"/>
          <w:szCs w:val="21"/>
        </w:rPr>
      </w:pPr>
      <w:r>
        <w:rPr>
          <w:rFonts w:hint="eastAsia" w:ascii="仿宋_GB2312" w:hAnsi="仿宋_GB2312" w:eastAsia="仿宋_GB2312" w:cs="仿宋_GB2312"/>
          <w:kern w:val="0"/>
          <w:sz w:val="32"/>
          <w:szCs w:val="32"/>
        </w:rPr>
        <w:t>从表6反映出，本季度需求缺口排名前三位的是：焊工、纺纱人员、缝纫工，与去年同期及上期情况基本一致，说明这些工种需求量较大，亦与我市产业结构的分布吻合，操作工、裁剪缝纫工、纺纱人员、焊工、营销人员等工种依旧占我市人力资源市场需求的主体位置。</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表</w:t>
      </w:r>
      <w:r>
        <w:rPr>
          <w:rFonts w:ascii="宋体" w:hAnsi="宋体"/>
          <w:szCs w:val="21"/>
        </w:rPr>
        <w:t>7</w:t>
      </w:r>
      <w:r>
        <w:rPr>
          <w:rFonts w:hint="eastAsia" w:ascii="宋体" w:hAnsi="宋体"/>
          <w:szCs w:val="21"/>
        </w:rPr>
        <w:t>：需求小于求职缺口最大的十个职业</w:t>
      </w:r>
    </w:p>
    <w:tbl>
      <w:tblPr>
        <w:tblStyle w:val="6"/>
        <w:tblW w:w="9555" w:type="dxa"/>
        <w:tblInd w:w="93" w:type="dxa"/>
        <w:tblLayout w:type="autofit"/>
        <w:tblCellMar>
          <w:top w:w="0" w:type="dxa"/>
          <w:left w:w="108" w:type="dxa"/>
          <w:bottom w:w="0" w:type="dxa"/>
          <w:right w:w="108" w:type="dxa"/>
        </w:tblCellMar>
      </w:tblPr>
      <w:tblGrid>
        <w:gridCol w:w="458"/>
        <w:gridCol w:w="2199"/>
        <w:gridCol w:w="1487"/>
        <w:gridCol w:w="1487"/>
        <w:gridCol w:w="1487"/>
        <w:gridCol w:w="1126"/>
        <w:gridCol w:w="1311"/>
      </w:tblGrid>
      <w:tr>
        <w:tblPrEx>
          <w:tblCellMar>
            <w:top w:w="0" w:type="dxa"/>
            <w:left w:w="108" w:type="dxa"/>
            <w:bottom w:w="0" w:type="dxa"/>
            <w:right w:w="108" w:type="dxa"/>
          </w:tblCellMar>
        </w:tblPrEx>
        <w:trPr>
          <w:trHeight w:val="402" w:hRule="atLeast"/>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劳动力供求人数比较</w:t>
            </w:r>
          </w:p>
        </w:tc>
      </w:tr>
      <w:tr>
        <w:tblPrEx>
          <w:tblCellMar>
            <w:top w:w="0" w:type="dxa"/>
            <w:left w:w="108" w:type="dxa"/>
            <w:bottom w:w="0" w:type="dxa"/>
            <w:right w:w="108" w:type="dxa"/>
          </w:tblCellMar>
        </w:tblPrEx>
        <w:trPr>
          <w:trHeight w:val="390" w:hRule="atLeast"/>
        </w:trPr>
        <w:tc>
          <w:tcPr>
            <w:tcW w:w="2657"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求人倍率</w:t>
            </w:r>
          </w:p>
        </w:tc>
      </w:tr>
      <w:tr>
        <w:tblPrEx>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公关经理</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3-01-02-03</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18</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-14</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0.22 </w:t>
            </w:r>
          </w:p>
        </w:tc>
      </w:tr>
      <w:tr>
        <w:tblPrEx>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行政办事员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3-01-01-01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130</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191</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-61</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0.68 </w:t>
            </w:r>
          </w:p>
        </w:tc>
      </w:tr>
      <w:tr>
        <w:tblPrEx>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行政办公人员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3-01-01-01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126</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178</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-52</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0.71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仓储管理员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4-02-06-01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113</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166</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-53</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0.68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计量员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4-08-05-06</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85</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147</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-62</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0.58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驾驶员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4-02-02-01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56</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113</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-57</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0.50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证券交易员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4-05-02-01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46</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97</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-51</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0.47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物业管理员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4-06-01-01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61</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91</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0.67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数字媒体艺术专业人员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2-09-06-07</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45</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98</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-53</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0.46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会计专业人员</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2-06-03-00</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38</w:t>
            </w:r>
          </w:p>
        </w:tc>
        <w:tc>
          <w:tcPr>
            <w:tcW w:w="1487"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82</w:t>
            </w:r>
          </w:p>
        </w:tc>
        <w:tc>
          <w:tcPr>
            <w:tcW w:w="11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-44</w:t>
            </w:r>
          </w:p>
        </w:tc>
        <w:tc>
          <w:tcPr>
            <w:tcW w:w="13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0.46 </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从表7反映出，办事员、行政办公人员、会计专业人员等在我市的需求量较小，这种职业流动性小，工作环境较好，稳定又比较体面，所以求职人数略微大于需求人数。总体上说，这些岗位的需求和求职都较小。</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textAlignment w:val="auto"/>
        <w:rPr>
          <w:rFonts w:ascii="宋体" w:hAnsi="宋体"/>
          <w:color w:val="FF0000"/>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（五）求职人员分类</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根据求职人员类别分析，本季度中列前三位的求职者分别是外埠人员30.18%，本市农村人员21.86%，高校毕业生17.60%。本季度正值毕业季，高校毕业生求职人数比上半年明显增加，于去年同期相比没有大的变动。</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 xml:space="preserve">表8 </w:t>
      </w:r>
      <w:r>
        <w:rPr>
          <w:rFonts w:ascii="宋体" w:hAnsi="宋体"/>
          <w:szCs w:val="21"/>
        </w:rPr>
        <w:t>按求职人员类别分组的求职人数</w:t>
      </w:r>
    </w:p>
    <w:tbl>
      <w:tblPr>
        <w:tblStyle w:val="6"/>
        <w:tblW w:w="3452" w:type="pct"/>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2190"/>
        <w:gridCol w:w="1796"/>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求职人员类别</w:t>
            </w:r>
          </w:p>
        </w:tc>
        <w:tc>
          <w:tcPr>
            <w:tcW w:w="179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新成长失业青年</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5924</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18.78%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0"/>
              </w:rPr>
              <w:t>其中：应届高校毕业生</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5550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17.60%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就业转失业人员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4925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15.61%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其他失业人员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3657</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11.59%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在业人员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621</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1.97%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下岗职工</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退休人员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在学人员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本市农村人员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6895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21.86%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rPr>
              <w:t>外埠人员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9519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30.18%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Verdana" w:hAnsi="Verdana" w:cs="宋体"/>
                <w:kern w:val="0"/>
                <w:szCs w:val="21"/>
              </w:rPr>
            </w:pPr>
            <w:r>
              <w:rPr>
                <w:rFonts w:hint="eastAsia" w:ascii="仿宋_GB2312" w:hAnsi="Verdana" w:cs="宋体"/>
                <w:kern w:val="0"/>
                <w:szCs w:val="22"/>
              </w:rPr>
              <w:t>合计</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31541</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100.00%</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321" w:firstLineChars="1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（六）招聘、应聘条件分析</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1. </w:t>
      </w:r>
      <w:r>
        <w:rPr>
          <w:rFonts w:hint="eastAsia" w:ascii="仿宋_GB2312" w:hAnsi="仿宋_GB2312" w:eastAsia="仿宋_GB2312" w:cs="仿宋_GB2312"/>
          <w:kern w:val="0"/>
          <w:sz w:val="32"/>
          <w:szCs w:val="32"/>
        </w:rPr>
        <w:t>按性别分类，男女求职比例基本为56：44，求人倍率男性为1.29，女性为1.28,男性需求人数高于女性，与我市劳动力资源性别结构相符。</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 xml:space="preserve">表9 </w:t>
      </w:r>
      <w:r>
        <w:rPr>
          <w:rFonts w:ascii="宋体" w:hAnsi="宋体"/>
          <w:szCs w:val="21"/>
        </w:rPr>
        <w:t>按性别分组的供求人数</w:t>
      </w:r>
    </w:p>
    <w:tbl>
      <w:tblPr>
        <w:tblStyle w:val="6"/>
        <w:tblW w:w="739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1"/>
        <w:gridCol w:w="1224"/>
        <w:gridCol w:w="1080"/>
        <w:gridCol w:w="1260"/>
        <w:gridCol w:w="1260"/>
        <w:gridCol w:w="16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80" w:hRule="atLeast"/>
        </w:trPr>
        <w:tc>
          <w:tcPr>
            <w:tcW w:w="95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性别</w:t>
            </w:r>
          </w:p>
        </w:tc>
        <w:tc>
          <w:tcPr>
            <w:tcW w:w="6444"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0" w:type="auto"/>
            <w:vMerge w:val="continue"/>
            <w:tcBorders>
              <w:top w:val="single" w:color="auto" w:sz="8" w:space="0"/>
              <w:left w:val="single" w:color="auto"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kern w:val="0"/>
                <w:szCs w:val="21"/>
              </w:rPr>
            </w:pPr>
          </w:p>
        </w:tc>
        <w:tc>
          <w:tcPr>
            <w:tcW w:w="1224"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本季度需求人数（人）</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126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本季度求职人数（人）</w:t>
            </w:r>
          </w:p>
        </w:tc>
        <w:tc>
          <w:tcPr>
            <w:tcW w:w="126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62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男</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12775</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32.93%</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17757</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56.30%</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1.29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女</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9748</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25.13%</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13784</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43.70%</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1.28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无要求</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16271</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41.94%</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0.00%</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合计</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38794</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31541</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1.23</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2.年龄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下图可以看出，本季度需求人数最多的是35-44岁这一年龄段，需求比重为30.01%，需求量最少的仍然是45岁以上，需求比重仅为2.0%。从求职来看，25-34岁和35-44岁的求职人群依旧是求职主体，求职比重分别为30.01%和31.24%。</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表10. 按年龄分组的供求人数</w:t>
      </w:r>
    </w:p>
    <w:tbl>
      <w:tblPr>
        <w:tblStyle w:val="6"/>
        <w:tblW w:w="577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95"/>
        <w:gridCol w:w="900"/>
        <w:gridCol w:w="900"/>
        <w:gridCol w:w="900"/>
        <w:gridCol w:w="900"/>
        <w:gridCol w:w="108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年龄</w:t>
            </w:r>
          </w:p>
        </w:tc>
        <w:tc>
          <w:tcPr>
            <w:tcW w:w="468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continue"/>
            <w:tcBorders>
              <w:top w:val="single" w:color="auto" w:sz="8" w:space="0"/>
              <w:left w:val="single" w:color="auto"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kern w:val="0"/>
                <w:szCs w:val="21"/>
              </w:rPr>
            </w:pP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16-24岁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11158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28.76%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9907</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31.41%</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1.37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25-34岁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11644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30.01%</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10510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33.32%</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35-44岁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12119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31.24%</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10636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33.72%</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1.39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45岁以上</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775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2.00%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488</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1.55%</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color w:val="000000"/>
                <w:sz w:val="22"/>
                <w:szCs w:val="22"/>
              </w:rPr>
            </w:pPr>
            <w:r>
              <w:rPr>
                <w:rFonts w:hint="eastAsia"/>
                <w:color w:val="000000"/>
                <w:sz w:val="22"/>
                <w:szCs w:val="22"/>
              </w:rPr>
              <w:t>1.84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无要求</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3098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7.99%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0.00%</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bottom"/>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Cs w:val="21"/>
              </w:rPr>
            </w:pPr>
            <w:r>
              <w:rPr>
                <w:rFonts w:hint="eastAsia" w:ascii="宋体" w:hAnsi="宋体" w:cs="宋体"/>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合计</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38794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31541</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bottom"/>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Cs w:val="21"/>
              </w:rPr>
            </w:pPr>
            <w:r>
              <w:rPr>
                <w:rFonts w:hint="eastAsia" w:ascii="宋体" w:hAnsi="宋体" w:cs="宋体"/>
                <w:szCs w:val="21"/>
              </w:rPr>
              <w:t>1.23</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textAlignment w:val="auto"/>
        <w:rPr>
          <w:rFonts w:ascii="宋体" w:hAnsi="宋体"/>
          <w:color w:val="FF0000"/>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3. 文化程度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 xml:space="preserve">在需求人群中，本季度大专和高中任然是需求比重最大的，在求职人群中，也是高中及大专占了总求职的绝大多数。总体上讲，文化水平虽然在逐渐提高，但还是以高中和大专为主，高学历人才相对较少，本科比例为16.20%，硕士以上人员比例仅占0.34%。 </w:t>
      </w:r>
    </w:p>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表11. 按文化程度分组的供求人数</w:t>
      </w:r>
    </w:p>
    <w:tbl>
      <w:tblPr>
        <w:tblStyle w:val="6"/>
        <w:tblW w:w="4912"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81" w:type="pct"/>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文化程度</w:t>
            </w:r>
          </w:p>
        </w:tc>
        <w:tc>
          <w:tcPr>
            <w:tcW w:w="4219"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81" w:type="pct"/>
            <w:vMerge w:val="continue"/>
            <w:tcBorders>
              <w:top w:val="single" w:color="auto" w:sz="8" w:space="0"/>
              <w:left w:val="single" w:color="auto" w:sz="8" w:space="0"/>
              <w:bottom w:val="single" w:color="000000" w:sz="8" w:space="0"/>
              <w:right w:val="single" w:color="auto" w:sz="8"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p>
        </w:tc>
        <w:tc>
          <w:tcPr>
            <w:tcW w:w="67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本季度需求人数(人)</w:t>
            </w:r>
          </w:p>
        </w:tc>
        <w:tc>
          <w:tcPr>
            <w:tcW w:w="64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本季度需求比重(%)</w:t>
            </w:r>
          </w:p>
        </w:tc>
        <w:tc>
          <w:tcPr>
            <w:tcW w:w="75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本季度求职人数(人)</w:t>
            </w:r>
          </w:p>
        </w:tc>
        <w:tc>
          <w:tcPr>
            <w:tcW w:w="107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本季度求职比重 (%)</w:t>
            </w:r>
          </w:p>
        </w:tc>
        <w:tc>
          <w:tcPr>
            <w:tcW w:w="107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初中及以下</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4731</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12.20%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3911</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12.40%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高中</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11107</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28.63%</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9070</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28.76%</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其中：职高、技校、中专</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5014</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12.92%</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3986</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12.64%</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大专</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16541</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42.64%</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13337</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42.28%</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大学</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6283</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16.20%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5110</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16.20%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硕士以上</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132</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0.34%</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113</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0.36%</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1.17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无要求</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4731</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12.20%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3911</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12.40%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合计</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38794</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31541</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1.23 </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textAlignment w:val="auto"/>
        <w:rPr>
          <w:rFonts w:ascii="宋体" w:hAnsi="宋体"/>
          <w:color w:val="FF0000"/>
          <w:szCs w:val="21"/>
        </w:rPr>
      </w:pPr>
    </w:p>
    <w:p>
      <w:pPr>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技术等级或职称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技术等级分类，需求中无要求的占48.60%，求职者中无技术等级和职称的占49.79%，这两者仍然是需求和求职的主要构成部分，与去年同期相比，企业对于有高技能的人才需要略有增加，而求职者中有职业资格专业技术的比例也逐年上升。</w:t>
      </w:r>
    </w:p>
    <w:p>
      <w:pPr>
        <w:keepNext w:val="0"/>
        <w:keepLines w:val="0"/>
        <w:pageBreakBefore w:val="0"/>
        <w:widowControl w:val="0"/>
        <w:numPr>
          <w:numId w:val="0"/>
        </w:numPr>
        <w:kinsoku/>
        <w:wordWrap/>
        <w:overflowPunct/>
        <w:topLinePunct w:val="0"/>
        <w:autoSpaceDE/>
        <w:autoSpaceDN/>
        <w:bidi w:val="0"/>
        <w:adjustRightInd w:val="0"/>
        <w:snapToGrid w:val="0"/>
        <w:spacing w:beforeAutospacing="0" w:afterAutospacing="0" w:line="560" w:lineRule="exact"/>
        <w:ind w:right="0" w:rightChars="0"/>
        <w:jc w:val="both"/>
        <w:textAlignment w:val="auto"/>
        <w:rPr>
          <w:rFonts w:hint="eastAsia" w:ascii="仿宋_GB2312" w:hAnsi="仿宋_GB2312" w:eastAsia="仿宋_GB2312" w:cs="仿宋_GB2312"/>
          <w:b w:val="0"/>
          <w:bCs/>
          <w:sz w:val="32"/>
          <w:szCs w:val="32"/>
        </w:rPr>
      </w:pPr>
    </w:p>
    <w:p>
      <w:pPr>
        <w:keepNext w:val="0"/>
        <w:keepLines w:val="0"/>
        <w:pageBreakBefore w:val="0"/>
        <w:widowControl w:val="0"/>
        <w:numPr>
          <w:numId w:val="0"/>
        </w:numPr>
        <w:kinsoku/>
        <w:wordWrap/>
        <w:overflowPunct/>
        <w:topLinePunct w:val="0"/>
        <w:autoSpaceDE/>
        <w:autoSpaceDN/>
        <w:bidi w:val="0"/>
        <w:adjustRightInd w:val="0"/>
        <w:snapToGrid w:val="0"/>
        <w:spacing w:beforeAutospacing="0" w:afterAutospacing="0" w:line="560" w:lineRule="exact"/>
        <w:ind w:right="0" w:rightChars="0"/>
        <w:jc w:val="both"/>
        <w:textAlignment w:val="auto"/>
        <w:rPr>
          <w:rFonts w:hint="eastAsia" w:ascii="仿宋_GB2312" w:hAnsi="仿宋_GB2312" w:eastAsia="仿宋_GB2312" w:cs="仿宋_GB2312"/>
          <w:b w:val="0"/>
          <w:bCs/>
          <w:sz w:val="32"/>
          <w:szCs w:val="32"/>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 xml:space="preserve">表12 </w:t>
      </w:r>
      <w:r>
        <w:rPr>
          <w:rFonts w:ascii="宋体" w:hAnsi="宋体"/>
          <w:szCs w:val="21"/>
        </w:rPr>
        <w:t>按技术等级分组的供求人数</w:t>
      </w:r>
    </w:p>
    <w:tbl>
      <w:tblPr>
        <w:tblStyle w:val="6"/>
        <w:tblW w:w="6678"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35"/>
        <w:gridCol w:w="1080"/>
        <w:gridCol w:w="900"/>
        <w:gridCol w:w="1080"/>
        <w:gridCol w:w="900"/>
        <w:gridCol w:w="108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63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技术等级</w:t>
            </w:r>
          </w:p>
        </w:tc>
        <w:tc>
          <w:tcPr>
            <w:tcW w:w="5043"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635"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left"/>
              <w:textAlignment w:val="auto"/>
              <w:rPr>
                <w:rFonts w:ascii="宋体" w:hAnsi="宋体" w:cs="宋体"/>
                <w:kern w:val="0"/>
                <w:szCs w:val="21"/>
              </w:rPr>
            </w:pP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08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职业资格五级</w:t>
            </w:r>
            <w:r>
              <w:rPr>
                <w:rFonts w:hint="eastAsia" w:ascii="宋体" w:hAnsi="宋体" w:cs="宋体"/>
                <w:kern w:val="0"/>
                <w:szCs w:val="21"/>
              </w:rPr>
              <w:br w:type="textWrapping"/>
            </w:r>
            <w:r>
              <w:rPr>
                <w:rFonts w:hint="eastAsia" w:ascii="宋体" w:hAnsi="宋体" w:cs="宋体"/>
                <w:kern w:val="0"/>
                <w:szCs w:val="21"/>
              </w:rPr>
              <w:t>(初级技能)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12150</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30.38%</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11539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35.05%</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1.05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职业资格四级</w:t>
            </w:r>
            <w:r>
              <w:rPr>
                <w:rFonts w:hint="eastAsia" w:ascii="宋体" w:hAnsi="宋体" w:cs="宋体"/>
                <w:kern w:val="0"/>
                <w:szCs w:val="21"/>
              </w:rPr>
              <w:br w:type="textWrapping"/>
            </w:r>
            <w:r>
              <w:rPr>
                <w:rFonts w:hint="eastAsia" w:ascii="宋体" w:hAnsi="宋体" w:cs="宋体"/>
                <w:kern w:val="0"/>
                <w:szCs w:val="21"/>
              </w:rPr>
              <w:t>(中级技能)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4155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10.39%</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1984</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6.03%</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2.09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职业资格三级</w:t>
            </w:r>
            <w:r>
              <w:rPr>
                <w:rFonts w:hint="eastAsia" w:ascii="宋体" w:hAnsi="宋体" w:cs="宋体"/>
                <w:kern w:val="0"/>
                <w:szCs w:val="21"/>
              </w:rPr>
              <w:br w:type="textWrapping"/>
            </w:r>
            <w:r>
              <w:rPr>
                <w:rFonts w:hint="eastAsia" w:ascii="宋体" w:hAnsi="宋体" w:cs="宋体"/>
                <w:kern w:val="0"/>
                <w:szCs w:val="21"/>
              </w:rPr>
              <w:t>(高级技能)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1607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4.02%</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642</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1.95%</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2.50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职业资格二级(技师)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288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0.72%</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172</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0.52%</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1.67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职业资格一级(高级技师)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149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0.37%</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0.12%</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3.82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初级专业技术职务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664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1.66%</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539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1.64%</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中级专业技术职务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301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0.75%</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193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0.59%</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1.56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高级专业技术职务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0.11%</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0.13%</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0.98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无技术等级或职称</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16390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49.79%</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1.19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无要求</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19438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48.60%</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kern w:val="0"/>
                <w:szCs w:val="21"/>
              </w:rPr>
            </w:pPr>
            <w:r>
              <w:rPr>
                <w:rFonts w:hint="eastAsia" w:ascii="宋体" w:hAnsi="宋体" w:cs="宋体"/>
                <w:kern w:val="0"/>
                <w:szCs w:val="21"/>
              </w:rPr>
              <w:t>合计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38794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31541</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100.00%</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spacing w:beforeAutospacing="0" w:afterAutospacing="0" w:line="560" w:lineRule="exact"/>
              <w:ind w:right="0" w:rightChars="0"/>
              <w:jc w:val="center"/>
              <w:textAlignment w:val="auto"/>
              <w:rPr>
                <w:rFonts w:ascii="宋体" w:hAnsi="宋体" w:cs="宋体"/>
                <w:sz w:val="22"/>
                <w:szCs w:val="22"/>
              </w:rPr>
            </w:pPr>
            <w:r>
              <w:rPr>
                <w:rFonts w:hint="eastAsia"/>
                <w:sz w:val="22"/>
                <w:szCs w:val="22"/>
              </w:rPr>
              <w:t xml:space="preserve">1.23 </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left"/>
        <w:textAlignment w:val="auto"/>
        <w:rPr>
          <w:rFonts w:ascii="宋体" w:hAnsi="宋体"/>
          <w:sz w:val="30"/>
          <w:szCs w:val="30"/>
          <w:highlight w:val="yellow"/>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黑体" w:hAnsi="黑体" w:eastAsia="黑体" w:cs="黑体"/>
          <w:b/>
          <w:sz w:val="32"/>
          <w:szCs w:val="32"/>
        </w:rPr>
      </w:pPr>
      <w:r>
        <w:rPr>
          <w:rFonts w:hint="eastAsia" w:ascii="黑体" w:hAnsi="黑体" w:eastAsia="黑体" w:cs="黑体"/>
          <w:sz w:val="32"/>
          <w:szCs w:val="32"/>
        </w:rPr>
        <w:t>三、四</w:t>
      </w:r>
      <w:r>
        <w:rPr>
          <w:rFonts w:hint="eastAsia" w:ascii="黑体" w:hAnsi="黑体" w:eastAsia="黑体" w:cs="黑体"/>
          <w:b/>
          <w:sz w:val="32"/>
          <w:szCs w:val="32"/>
        </w:rPr>
        <w:t>季度人力资源市场运行状况和特点及应对措施</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321" w:firstLineChars="1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（一）四季度人力资源市场运行状况和特点</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本季度需求数为38794人，求职数为31541人，求人倍率为1.23。校招高峰在本季度回落，因接近年终，无论单位还是求职者，都比较稳定。所以，需求和求职量在全年中是最少的，真正达到了全年的最低点。</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1-12月的求人倍率随着市场变化略有波动，符合市场特点。</w:t>
      </w:r>
    </w:p>
    <w:tbl>
      <w:tblPr>
        <w:tblStyle w:val="6"/>
        <w:tblW w:w="9720" w:type="dxa"/>
        <w:tblInd w:w="-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792"/>
        <w:gridCol w:w="720"/>
        <w:gridCol w:w="720"/>
        <w:gridCol w:w="720"/>
        <w:gridCol w:w="720"/>
        <w:gridCol w:w="720"/>
        <w:gridCol w:w="720"/>
        <w:gridCol w:w="720"/>
        <w:gridCol w:w="792"/>
        <w:gridCol w:w="792"/>
        <w:gridCol w:w="792"/>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一月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二月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三月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四月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五月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六月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七月</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八月</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九月</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十月</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十一月</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十二月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求人倍率</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1.27</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ascii="宋体" w:hAnsi="宋体"/>
                <w:szCs w:val="21"/>
              </w:rPr>
              <w:t>1.25</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ascii="宋体" w:hAnsi="宋体"/>
                <w:szCs w:val="21"/>
              </w:rPr>
              <w:t>1.24</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ascii="宋体" w:hAnsi="宋体"/>
                <w:szCs w:val="21"/>
              </w:rPr>
              <w:t>1.23</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ascii="宋体" w:hAnsi="宋体"/>
                <w:szCs w:val="21"/>
              </w:rPr>
              <w:t>1.21</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ascii="宋体" w:hAnsi="宋体"/>
                <w:szCs w:val="21"/>
              </w:rPr>
              <w:t>1.2</w:t>
            </w:r>
            <w:r>
              <w:rPr>
                <w:rFonts w:hint="eastAsia" w:ascii="宋体" w:hAnsi="宋体"/>
                <w:szCs w:val="21"/>
              </w:rPr>
              <w:t>0</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ascii="宋体" w:hAnsi="宋体"/>
                <w:szCs w:val="21"/>
              </w:rPr>
              <w:t>1.2</w:t>
            </w:r>
            <w:r>
              <w:rPr>
                <w:rFonts w:hint="eastAsia" w:ascii="宋体" w:hAnsi="宋体"/>
                <w:szCs w:val="21"/>
              </w:rPr>
              <w:t>0</w:t>
            </w:r>
          </w:p>
        </w:tc>
        <w:tc>
          <w:tcPr>
            <w:tcW w:w="72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1.21</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1.20</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1.21</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1.23</w:t>
            </w:r>
          </w:p>
        </w:tc>
        <w:tc>
          <w:tcPr>
            <w:tcW w:w="79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center"/>
              <w:textAlignment w:val="auto"/>
              <w:rPr>
                <w:rFonts w:ascii="宋体" w:hAnsi="宋体"/>
                <w:szCs w:val="21"/>
              </w:rPr>
            </w:pPr>
            <w:r>
              <w:rPr>
                <w:rFonts w:hint="eastAsia" w:ascii="宋体" w:hAnsi="宋体"/>
                <w:szCs w:val="21"/>
              </w:rPr>
              <w:t>1.25</w:t>
            </w:r>
          </w:p>
        </w:tc>
      </w:tr>
    </w:tbl>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left"/>
        <w:textAlignment w:val="auto"/>
        <w:rPr>
          <w:rFonts w:ascii="宋体" w:hAnsi="宋体"/>
          <w:color w:val="FF0000"/>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left"/>
        <w:textAlignment w:val="auto"/>
        <w:rPr>
          <w:rFonts w:ascii="宋体" w:hAnsi="宋体"/>
          <w:color w:val="FF0000"/>
          <w:szCs w:val="21"/>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left"/>
        <w:textAlignment w:val="auto"/>
        <w:rPr>
          <w:rFonts w:ascii="宋体" w:hAnsi="宋体"/>
          <w:szCs w:val="21"/>
        </w:rPr>
      </w:pPr>
      <w:r>
        <w:rPr>
          <w:rFonts w:ascii="宋体" w:hAnsi="宋体"/>
          <w:color w:val="FF0000"/>
          <w:szCs w:val="21"/>
        </w:rPr>
        <w:drawing>
          <wp:anchor distT="0" distB="0" distL="0" distR="0" simplePos="0" relativeHeight="251659264" behindDoc="0" locked="0" layoutInCell="1" allowOverlap="1">
            <wp:simplePos x="0" y="0"/>
            <wp:positionH relativeFrom="column">
              <wp:posOffset>7620</wp:posOffset>
            </wp:positionH>
            <wp:positionV relativeFrom="paragraph">
              <wp:posOffset>-6498590</wp:posOffset>
            </wp:positionV>
            <wp:extent cx="5274310" cy="2227580"/>
            <wp:effectExtent l="0" t="0" r="0" b="0"/>
            <wp:wrapTopAndBottom/>
            <wp:docPr id="7"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第二产业仍占企业需求和求职的主要部分，尤其是制造业。但第三产业比重正在逐步上升。</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专业技术人员的求人倍率略高于其它各职业；有技术等级的求人倍率略高，等级越高，求人倍率越大；这表明我市对高技术人才、专业技术人才的需求量仍然较大。文化程度的需求和求</w:t>
      </w:r>
      <w:bookmarkStart w:id="0" w:name="_GoBack"/>
      <w:bookmarkEnd w:id="0"/>
      <w:r>
        <w:rPr>
          <w:rFonts w:hint="eastAsia" w:ascii="仿宋_GB2312" w:hAnsi="仿宋_GB2312" w:eastAsia="仿宋_GB2312" w:cs="仿宋_GB2312"/>
          <w:sz w:val="32"/>
          <w:szCs w:val="32"/>
        </w:rPr>
        <w:t>职基本匹配，从数量上看，高中生的需求最大，尤其是职高、技校、中专生，说明市场对实用型人才的需求较大。同时，也反映了部分岗位部分人员的招工难和就业难的矛盾。</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本季度求人倍率最大的是商业和服务人员，其次是生产运输设备操作工，最小的是其他人员人，供求情况与上期有所变化，因接近年终各类流动人员减少，造成第三产业求职人员缺口有所增加。</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操作工在需求总量上的绝对值最大，缺口也最大，但因为技术含量低，求人倍率与总倍率持平。</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有限责任公司所招员工最多，私营企业也占了较大比重。</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外埠及本市农村人员占求职数的比例高达52.04%，说明求职者中，外来劳动力和本市农村人员占主体。</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男女需求差距仍然较大，总体上无论是需求还是求职，男性仍大于女性。这与我市的行业结构有关。我市的机械装备、纺织服装、石油化工、冶金矿产等行业仍是我市企业用工主体。</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需求和求职均以青壮年为主，一方面是因为岗位性质更偏好青壮年，另一方面也是因为这一年龄段群体相对于其它年龄段的求职者来说，流动性更大。</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firstLine="420"/>
        <w:jc w:val="left"/>
        <w:textAlignment w:val="auto"/>
        <w:rPr>
          <w:rFonts w:ascii="宋体" w:hAnsi="宋体"/>
          <w:szCs w:val="21"/>
        </w:rPr>
      </w:pPr>
    </w:p>
    <w:p>
      <w:pPr>
        <w:pStyle w:val="18"/>
        <w:keepNext w:val="0"/>
        <w:keepLines w:val="0"/>
        <w:pageBreakBefore w:val="0"/>
        <w:numPr>
          <w:numId w:val="0"/>
        </w:numPr>
        <w:kinsoku/>
        <w:wordWrap/>
        <w:overflowPunct/>
        <w:topLinePunct w:val="0"/>
        <w:autoSpaceDE/>
        <w:autoSpaceDN/>
        <w:bidi w:val="0"/>
        <w:spacing w:beforeAutospacing="0" w:afterAutospacing="0" w:line="560" w:lineRule="exact"/>
        <w:ind w:leftChars="0"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针对以上情况，我市人力资源市场采取了积极的应对措施：</w:t>
      </w:r>
    </w:p>
    <w:p>
      <w:pPr>
        <w:pStyle w:val="18"/>
        <w:keepNext w:val="0"/>
        <w:keepLines w:val="0"/>
        <w:pageBreakBefore w:val="0"/>
        <w:numPr>
          <w:numId w:val="0"/>
        </w:numPr>
        <w:kinsoku/>
        <w:wordWrap/>
        <w:overflowPunct/>
        <w:topLinePunct w:val="0"/>
        <w:autoSpaceDE/>
        <w:autoSpaceDN/>
        <w:bidi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张家港市人才市场根据企业对人才的需求积极和</w:t>
      </w:r>
      <w:r>
        <w:rPr>
          <w:rFonts w:hint="eastAsia" w:ascii="仿宋_GB2312" w:hAnsi="仿宋_GB2312" w:eastAsia="仿宋_GB2312" w:cs="仿宋_GB2312"/>
          <w:bCs/>
          <w:sz w:val="32"/>
          <w:szCs w:val="32"/>
        </w:rPr>
        <w:t>江苏科技大学张家港校区合作，举办2021年金秋招聘月活动，为方便学生求职，把会场设在学校校区内，一方面为企业搭建招聘平台，一方面方便学生就近就地求聘，更好地</w:t>
      </w:r>
      <w:r>
        <w:rPr>
          <w:rFonts w:hint="eastAsia" w:ascii="仿宋_GB2312" w:hAnsi="仿宋_GB2312" w:eastAsia="仿宋_GB2312" w:cs="仿宋_GB2312"/>
          <w:sz w:val="32"/>
          <w:szCs w:val="32"/>
        </w:rPr>
        <w:t>满足企业用工需求和提高毕业生求职成功率，同时为方便其他各类求职人员的需求，利用商业综合体夜间人流量大，氛围轻松的特点，在杨舍街创新打造了“人才夜市”活动，让求职者像逛夜市一样找工作。</w:t>
      </w:r>
    </w:p>
    <w:p>
      <w:pPr>
        <w:pStyle w:val="18"/>
        <w:keepNext w:val="0"/>
        <w:keepLines w:val="0"/>
        <w:pageBreakBefore w:val="0"/>
        <w:numPr>
          <w:numId w:val="0"/>
        </w:numPr>
        <w:kinsoku/>
        <w:wordWrap/>
        <w:overflowPunct/>
        <w:topLinePunct w:val="0"/>
        <w:autoSpaceDE/>
        <w:autoSpaceDN/>
        <w:bidi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为满足广大企业对紧缺中高端人才和技工的需求，最大限度降低疫情对就业工作的影响，促进高校毕业生更加充分、更高高质量就业，充分发挥张家港人才网、91580求职登记信息平台的作用，举办了“就在张家港、才遇江南好”</w:t>
      </w:r>
      <w:r>
        <w:rPr>
          <w:rFonts w:hint="eastAsia" w:ascii="仿宋_GB2312" w:hAnsi="仿宋_GB2312" w:eastAsia="仿宋_GB2312" w:cs="仿宋_GB2312"/>
          <w:color w:val="000000"/>
          <w:sz w:val="32"/>
          <w:szCs w:val="32"/>
          <w:shd w:val="clear" w:color="auto" w:fill="FFFFFF"/>
        </w:rPr>
        <w:t xml:space="preserve"> 中高端人才对接会，“张家港市第十九届技能人才交流会”、</w:t>
      </w:r>
      <w:r>
        <w:rPr>
          <w:rFonts w:hint="eastAsia" w:ascii="仿宋_GB2312" w:hAnsi="仿宋_GB2312" w:eastAsia="仿宋_GB2312" w:cs="仿宋_GB2312"/>
          <w:bCs/>
          <w:color w:val="000000"/>
          <w:sz w:val="32"/>
          <w:szCs w:val="32"/>
          <w:shd w:val="clear" w:color="auto" w:fill="FFFFFF"/>
        </w:rPr>
        <w:t>“两在两同促就业”江苏师范大学理工类毕业生网络招聘会</w:t>
      </w:r>
      <w:r>
        <w:rPr>
          <w:rFonts w:hint="eastAsia" w:ascii="仿宋_GB2312" w:hAnsi="仿宋_GB2312" w:eastAsia="仿宋_GB2312" w:cs="仿宋_GB2312"/>
          <w:sz w:val="32"/>
          <w:szCs w:val="32"/>
        </w:rPr>
        <w:t>，毕业生可通过云求职登记信息平台进行登记和简历投递，企业通过平台提供的视频面试工具与毕业生及时开展在线面试，及时满足企业和毕业生的需求。</w:t>
      </w:r>
    </w:p>
    <w:p>
      <w:pPr>
        <w:keepNext w:val="0"/>
        <w:keepLines w:val="0"/>
        <w:pageBreakBefore w:val="0"/>
        <w:kinsoku/>
        <w:wordWrap/>
        <w:overflowPunct/>
        <w:topLinePunct w:val="0"/>
        <w:autoSpaceDE/>
        <w:autoSpaceDN/>
        <w:bidi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充分利用“江苏省智慧就业云平台直播招聘”活动，创新“直播带岗”模式，向天下英才广抛“橄榄枝”，市人社局相关科室工作人员当起“主播”，走进江苏永钢集团、江苏国泰国际集团、长城汽车研发中心张家港公司等重点企业直播荐岗，让求职者足不出户“云应聘”。</w:t>
      </w:r>
    </w:p>
    <w:p>
      <w:pPr>
        <w:keepNext w:val="0"/>
        <w:keepLines w:val="0"/>
        <w:pageBreakBefore w:val="0"/>
        <w:kinsoku/>
        <w:wordWrap/>
        <w:overflowPunct/>
        <w:topLinePunct w:val="0"/>
        <w:autoSpaceDE/>
        <w:autoSpaceDN/>
        <w:bidi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积极开展用工调查，了解企业用工现状和需求，针对我市用工规模较大、行业特色明显的300家重点企业开展了一次用工需求专项调查，通过问卷、走访、座谈等形式，了解企业用工现状和缺工情况，具体包括缺工人数、缺工种类及工种、薪酬待遇、住宿条件等，并听取企业用工服务等方面的诉求和建议。目前我市300家调查企业用工总体稳定，有超一半企业有招工需求。</w:t>
      </w:r>
    </w:p>
    <w:p>
      <w:pPr>
        <w:keepNext w:val="0"/>
        <w:keepLines w:val="0"/>
        <w:pageBreakBefore w:val="0"/>
        <w:kinsoku/>
        <w:wordWrap/>
        <w:overflowPunct/>
        <w:topLinePunct w:val="0"/>
        <w:autoSpaceDE/>
        <w:autoSpaceDN/>
        <w:bidi w:val="0"/>
        <w:spacing w:beforeAutospacing="0" w:afterAutospacing="0" w:line="560" w:lineRule="exact"/>
        <w:ind w:right="0" w:rightChars="0" w:firstLine="420" w:firstLineChars="200"/>
        <w:textAlignment w:val="auto"/>
        <w:rPr>
          <w:rFonts w:ascii="宋体" w:hAnsi="宋体"/>
          <w:szCs w:val="21"/>
        </w:rPr>
      </w:pPr>
      <w:r>
        <w:rPr>
          <w:rFonts w:hint="eastAsia" w:ascii="宋体" w:hAnsi="宋体"/>
          <w:szCs w:val="21"/>
        </w:rPr>
        <w:t xml:space="preserve"> </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0" w:rightChars="0"/>
        <w:jc w:val="left"/>
        <w:textAlignment w:val="auto"/>
        <w:rPr>
          <w:color w:val="FF0000"/>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2E6B6"/>
    <w:multiLevelType w:val="singleLevel"/>
    <w:tmpl w:val="83C2E6B6"/>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B7"/>
    <w:rsid w:val="00006087"/>
    <w:rsid w:val="00012187"/>
    <w:rsid w:val="00016DE2"/>
    <w:rsid w:val="000227BC"/>
    <w:rsid w:val="0003728A"/>
    <w:rsid w:val="00043478"/>
    <w:rsid w:val="0004598D"/>
    <w:rsid w:val="000478D2"/>
    <w:rsid w:val="00050931"/>
    <w:rsid w:val="00050C5E"/>
    <w:rsid w:val="000567AE"/>
    <w:rsid w:val="000630B7"/>
    <w:rsid w:val="000664E1"/>
    <w:rsid w:val="00066803"/>
    <w:rsid w:val="000668D0"/>
    <w:rsid w:val="00066E64"/>
    <w:rsid w:val="000678B7"/>
    <w:rsid w:val="00072F3E"/>
    <w:rsid w:val="00073D32"/>
    <w:rsid w:val="000822DD"/>
    <w:rsid w:val="0008306D"/>
    <w:rsid w:val="00083974"/>
    <w:rsid w:val="00084B52"/>
    <w:rsid w:val="000A071E"/>
    <w:rsid w:val="000A7056"/>
    <w:rsid w:val="000B13B0"/>
    <w:rsid w:val="000B2CD7"/>
    <w:rsid w:val="000B4C20"/>
    <w:rsid w:val="000C5A43"/>
    <w:rsid w:val="000E0C58"/>
    <w:rsid w:val="000E3DFC"/>
    <w:rsid w:val="000F69C1"/>
    <w:rsid w:val="00111C0D"/>
    <w:rsid w:val="001147B4"/>
    <w:rsid w:val="00117B68"/>
    <w:rsid w:val="00125ACA"/>
    <w:rsid w:val="00125D19"/>
    <w:rsid w:val="001262CA"/>
    <w:rsid w:val="00140ECF"/>
    <w:rsid w:val="00142CEF"/>
    <w:rsid w:val="00147C96"/>
    <w:rsid w:val="00151CFC"/>
    <w:rsid w:val="001524CF"/>
    <w:rsid w:val="00154FC5"/>
    <w:rsid w:val="001601F0"/>
    <w:rsid w:val="001606F9"/>
    <w:rsid w:val="001700DA"/>
    <w:rsid w:val="00171ED5"/>
    <w:rsid w:val="00181C29"/>
    <w:rsid w:val="00181D8A"/>
    <w:rsid w:val="0018525A"/>
    <w:rsid w:val="001854EE"/>
    <w:rsid w:val="00195ECF"/>
    <w:rsid w:val="001A32CA"/>
    <w:rsid w:val="001A470E"/>
    <w:rsid w:val="001A4952"/>
    <w:rsid w:val="001B037B"/>
    <w:rsid w:val="001B087F"/>
    <w:rsid w:val="001B09F5"/>
    <w:rsid w:val="001B2459"/>
    <w:rsid w:val="001B3FCA"/>
    <w:rsid w:val="001B5E81"/>
    <w:rsid w:val="001C08AC"/>
    <w:rsid w:val="001C1B7C"/>
    <w:rsid w:val="001C1C78"/>
    <w:rsid w:val="001C4DA6"/>
    <w:rsid w:val="001C7782"/>
    <w:rsid w:val="001D3AEB"/>
    <w:rsid w:val="001D7844"/>
    <w:rsid w:val="001E019F"/>
    <w:rsid w:val="001E5F63"/>
    <w:rsid w:val="001F0B2B"/>
    <w:rsid w:val="001F37F6"/>
    <w:rsid w:val="001F4BA4"/>
    <w:rsid w:val="001F6B9D"/>
    <w:rsid w:val="0021663D"/>
    <w:rsid w:val="00217FFB"/>
    <w:rsid w:val="002206CB"/>
    <w:rsid w:val="0022349D"/>
    <w:rsid w:val="00224984"/>
    <w:rsid w:val="00232995"/>
    <w:rsid w:val="002363AF"/>
    <w:rsid w:val="002413EA"/>
    <w:rsid w:val="00293056"/>
    <w:rsid w:val="00295BC4"/>
    <w:rsid w:val="0029610A"/>
    <w:rsid w:val="002A2CBC"/>
    <w:rsid w:val="002B0AC3"/>
    <w:rsid w:val="002B3B0B"/>
    <w:rsid w:val="002C0B62"/>
    <w:rsid w:val="002C2204"/>
    <w:rsid w:val="002C36BF"/>
    <w:rsid w:val="002C40BB"/>
    <w:rsid w:val="002D1471"/>
    <w:rsid w:val="002E1C26"/>
    <w:rsid w:val="002E1E4B"/>
    <w:rsid w:val="00300F79"/>
    <w:rsid w:val="003057FE"/>
    <w:rsid w:val="00305C97"/>
    <w:rsid w:val="00310D90"/>
    <w:rsid w:val="00316750"/>
    <w:rsid w:val="00316E33"/>
    <w:rsid w:val="00317FED"/>
    <w:rsid w:val="00334013"/>
    <w:rsid w:val="0033588E"/>
    <w:rsid w:val="0034498D"/>
    <w:rsid w:val="00350CC5"/>
    <w:rsid w:val="003525CF"/>
    <w:rsid w:val="003602CB"/>
    <w:rsid w:val="00364886"/>
    <w:rsid w:val="00365C06"/>
    <w:rsid w:val="0037416C"/>
    <w:rsid w:val="0037682A"/>
    <w:rsid w:val="003862E5"/>
    <w:rsid w:val="00386B51"/>
    <w:rsid w:val="00396420"/>
    <w:rsid w:val="00396CE4"/>
    <w:rsid w:val="0039793E"/>
    <w:rsid w:val="003A1016"/>
    <w:rsid w:val="003A435D"/>
    <w:rsid w:val="003A63E3"/>
    <w:rsid w:val="003B0A1E"/>
    <w:rsid w:val="003B10A9"/>
    <w:rsid w:val="003B7B9C"/>
    <w:rsid w:val="003B7C59"/>
    <w:rsid w:val="003C3F32"/>
    <w:rsid w:val="003C70E4"/>
    <w:rsid w:val="003C7F36"/>
    <w:rsid w:val="003D4FF9"/>
    <w:rsid w:val="003E0FF4"/>
    <w:rsid w:val="003E344F"/>
    <w:rsid w:val="003E3E7C"/>
    <w:rsid w:val="003E5D81"/>
    <w:rsid w:val="003E5F19"/>
    <w:rsid w:val="003E6823"/>
    <w:rsid w:val="0041029E"/>
    <w:rsid w:val="00411CF6"/>
    <w:rsid w:val="004155AB"/>
    <w:rsid w:val="004157A4"/>
    <w:rsid w:val="00416CEF"/>
    <w:rsid w:val="004217C0"/>
    <w:rsid w:val="00426ABF"/>
    <w:rsid w:val="0043424C"/>
    <w:rsid w:val="00434793"/>
    <w:rsid w:val="00434BFA"/>
    <w:rsid w:val="00446431"/>
    <w:rsid w:val="0045156E"/>
    <w:rsid w:val="004552CE"/>
    <w:rsid w:val="00460EB2"/>
    <w:rsid w:val="00461C2F"/>
    <w:rsid w:val="0046297A"/>
    <w:rsid w:val="004649EF"/>
    <w:rsid w:val="004658E5"/>
    <w:rsid w:val="004662E8"/>
    <w:rsid w:val="004761E3"/>
    <w:rsid w:val="00480652"/>
    <w:rsid w:val="0048372A"/>
    <w:rsid w:val="00484C8D"/>
    <w:rsid w:val="0049356E"/>
    <w:rsid w:val="00493D66"/>
    <w:rsid w:val="004B1FD8"/>
    <w:rsid w:val="004B56D2"/>
    <w:rsid w:val="004B7DC0"/>
    <w:rsid w:val="004C072B"/>
    <w:rsid w:val="004D1B76"/>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7E9E"/>
    <w:rsid w:val="00572984"/>
    <w:rsid w:val="00572F2E"/>
    <w:rsid w:val="00574251"/>
    <w:rsid w:val="00577FFC"/>
    <w:rsid w:val="005849DD"/>
    <w:rsid w:val="005A19C5"/>
    <w:rsid w:val="005A68C0"/>
    <w:rsid w:val="005B45EE"/>
    <w:rsid w:val="005B58BD"/>
    <w:rsid w:val="005B6CD4"/>
    <w:rsid w:val="005D59E8"/>
    <w:rsid w:val="005E0DE4"/>
    <w:rsid w:val="005E33BF"/>
    <w:rsid w:val="005E3AEE"/>
    <w:rsid w:val="005E68FC"/>
    <w:rsid w:val="005F03D4"/>
    <w:rsid w:val="005F3125"/>
    <w:rsid w:val="005F3491"/>
    <w:rsid w:val="00601A40"/>
    <w:rsid w:val="00615568"/>
    <w:rsid w:val="00624F33"/>
    <w:rsid w:val="006338B7"/>
    <w:rsid w:val="006345B3"/>
    <w:rsid w:val="00636F84"/>
    <w:rsid w:val="0063720E"/>
    <w:rsid w:val="006529F2"/>
    <w:rsid w:val="00655D80"/>
    <w:rsid w:val="00657BBE"/>
    <w:rsid w:val="00660CD2"/>
    <w:rsid w:val="00660FCC"/>
    <w:rsid w:val="0066256E"/>
    <w:rsid w:val="0066299E"/>
    <w:rsid w:val="00663532"/>
    <w:rsid w:val="0066534A"/>
    <w:rsid w:val="006732D8"/>
    <w:rsid w:val="0067391E"/>
    <w:rsid w:val="0068266E"/>
    <w:rsid w:val="00682C1A"/>
    <w:rsid w:val="00687CEA"/>
    <w:rsid w:val="006907AE"/>
    <w:rsid w:val="00690D78"/>
    <w:rsid w:val="006935F1"/>
    <w:rsid w:val="006A44D0"/>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37C5"/>
    <w:rsid w:val="00733888"/>
    <w:rsid w:val="007441F8"/>
    <w:rsid w:val="0075017F"/>
    <w:rsid w:val="00751689"/>
    <w:rsid w:val="007544E0"/>
    <w:rsid w:val="00754822"/>
    <w:rsid w:val="007626EE"/>
    <w:rsid w:val="00763B3C"/>
    <w:rsid w:val="00765DFE"/>
    <w:rsid w:val="00767F43"/>
    <w:rsid w:val="00771AA7"/>
    <w:rsid w:val="00773D0D"/>
    <w:rsid w:val="007817B4"/>
    <w:rsid w:val="00783799"/>
    <w:rsid w:val="00783EC3"/>
    <w:rsid w:val="007870FA"/>
    <w:rsid w:val="00787A20"/>
    <w:rsid w:val="0079257B"/>
    <w:rsid w:val="00792B27"/>
    <w:rsid w:val="00792C22"/>
    <w:rsid w:val="00793D18"/>
    <w:rsid w:val="00794105"/>
    <w:rsid w:val="00794DFF"/>
    <w:rsid w:val="007A04E1"/>
    <w:rsid w:val="007A08B1"/>
    <w:rsid w:val="007A45F5"/>
    <w:rsid w:val="007A5F3C"/>
    <w:rsid w:val="007C3858"/>
    <w:rsid w:val="007C5652"/>
    <w:rsid w:val="007C683E"/>
    <w:rsid w:val="007C6B7A"/>
    <w:rsid w:val="007D5489"/>
    <w:rsid w:val="007D7010"/>
    <w:rsid w:val="007D7D7C"/>
    <w:rsid w:val="007E3461"/>
    <w:rsid w:val="007E4857"/>
    <w:rsid w:val="007E6AD5"/>
    <w:rsid w:val="00800640"/>
    <w:rsid w:val="008020D2"/>
    <w:rsid w:val="00804439"/>
    <w:rsid w:val="00806020"/>
    <w:rsid w:val="00810D15"/>
    <w:rsid w:val="0081548D"/>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5A1D"/>
    <w:rsid w:val="008834A3"/>
    <w:rsid w:val="00884504"/>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31F21"/>
    <w:rsid w:val="009345E9"/>
    <w:rsid w:val="00935F12"/>
    <w:rsid w:val="00937F11"/>
    <w:rsid w:val="00946E5E"/>
    <w:rsid w:val="00953551"/>
    <w:rsid w:val="009544BB"/>
    <w:rsid w:val="00962ECA"/>
    <w:rsid w:val="00967D1D"/>
    <w:rsid w:val="00971C63"/>
    <w:rsid w:val="00974709"/>
    <w:rsid w:val="009927FE"/>
    <w:rsid w:val="00994803"/>
    <w:rsid w:val="00996CF9"/>
    <w:rsid w:val="009A72D9"/>
    <w:rsid w:val="009B6F09"/>
    <w:rsid w:val="009B79B9"/>
    <w:rsid w:val="009C0BA4"/>
    <w:rsid w:val="009C254E"/>
    <w:rsid w:val="009C46D4"/>
    <w:rsid w:val="009D4691"/>
    <w:rsid w:val="009D6100"/>
    <w:rsid w:val="009E27FD"/>
    <w:rsid w:val="009E4357"/>
    <w:rsid w:val="009E4BA6"/>
    <w:rsid w:val="009E56DB"/>
    <w:rsid w:val="009E5C74"/>
    <w:rsid w:val="009E730A"/>
    <w:rsid w:val="009F0169"/>
    <w:rsid w:val="009F37EA"/>
    <w:rsid w:val="009F5413"/>
    <w:rsid w:val="009F5867"/>
    <w:rsid w:val="009F5A48"/>
    <w:rsid w:val="009F5BD4"/>
    <w:rsid w:val="009F78A4"/>
    <w:rsid w:val="00A0654C"/>
    <w:rsid w:val="00A14F29"/>
    <w:rsid w:val="00A1672A"/>
    <w:rsid w:val="00A228CE"/>
    <w:rsid w:val="00A23620"/>
    <w:rsid w:val="00A27F20"/>
    <w:rsid w:val="00A30150"/>
    <w:rsid w:val="00A30A13"/>
    <w:rsid w:val="00A33CD7"/>
    <w:rsid w:val="00A34FFA"/>
    <w:rsid w:val="00A36AC2"/>
    <w:rsid w:val="00A61F72"/>
    <w:rsid w:val="00A63CB8"/>
    <w:rsid w:val="00A70EE8"/>
    <w:rsid w:val="00A72663"/>
    <w:rsid w:val="00A7395D"/>
    <w:rsid w:val="00A73A2F"/>
    <w:rsid w:val="00A81BCF"/>
    <w:rsid w:val="00A81DBE"/>
    <w:rsid w:val="00A83B87"/>
    <w:rsid w:val="00A859F4"/>
    <w:rsid w:val="00A863BE"/>
    <w:rsid w:val="00A91F4B"/>
    <w:rsid w:val="00A92CB6"/>
    <w:rsid w:val="00A9336F"/>
    <w:rsid w:val="00A97718"/>
    <w:rsid w:val="00AA0A9E"/>
    <w:rsid w:val="00AA1BBA"/>
    <w:rsid w:val="00AA7153"/>
    <w:rsid w:val="00AB187F"/>
    <w:rsid w:val="00AB46FD"/>
    <w:rsid w:val="00AC2E67"/>
    <w:rsid w:val="00AC6FE2"/>
    <w:rsid w:val="00AD1F99"/>
    <w:rsid w:val="00AE2B40"/>
    <w:rsid w:val="00AE3CCC"/>
    <w:rsid w:val="00AE46CF"/>
    <w:rsid w:val="00AF632A"/>
    <w:rsid w:val="00AF7802"/>
    <w:rsid w:val="00B02153"/>
    <w:rsid w:val="00B04B64"/>
    <w:rsid w:val="00B06D17"/>
    <w:rsid w:val="00B1537E"/>
    <w:rsid w:val="00B218B9"/>
    <w:rsid w:val="00B237B1"/>
    <w:rsid w:val="00B26ADC"/>
    <w:rsid w:val="00B279B2"/>
    <w:rsid w:val="00B27E4A"/>
    <w:rsid w:val="00B32132"/>
    <w:rsid w:val="00B33FAF"/>
    <w:rsid w:val="00B34543"/>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212EA"/>
    <w:rsid w:val="00C2355A"/>
    <w:rsid w:val="00C2637E"/>
    <w:rsid w:val="00C276F7"/>
    <w:rsid w:val="00C312AB"/>
    <w:rsid w:val="00C32C85"/>
    <w:rsid w:val="00C3378E"/>
    <w:rsid w:val="00C4411B"/>
    <w:rsid w:val="00C4487F"/>
    <w:rsid w:val="00C462C5"/>
    <w:rsid w:val="00C540B9"/>
    <w:rsid w:val="00C6450D"/>
    <w:rsid w:val="00C662DD"/>
    <w:rsid w:val="00C70B3E"/>
    <w:rsid w:val="00C70DAE"/>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1763"/>
    <w:rsid w:val="00CC6FAD"/>
    <w:rsid w:val="00CE6244"/>
    <w:rsid w:val="00CF04EC"/>
    <w:rsid w:val="00CF6009"/>
    <w:rsid w:val="00CF7040"/>
    <w:rsid w:val="00D00843"/>
    <w:rsid w:val="00D010A3"/>
    <w:rsid w:val="00D15DFC"/>
    <w:rsid w:val="00D17005"/>
    <w:rsid w:val="00D201F9"/>
    <w:rsid w:val="00D22C4E"/>
    <w:rsid w:val="00D23BB0"/>
    <w:rsid w:val="00D25ECF"/>
    <w:rsid w:val="00D26DF4"/>
    <w:rsid w:val="00D31854"/>
    <w:rsid w:val="00D31F7B"/>
    <w:rsid w:val="00D36DF7"/>
    <w:rsid w:val="00D40E79"/>
    <w:rsid w:val="00D476BC"/>
    <w:rsid w:val="00D5000C"/>
    <w:rsid w:val="00D562FA"/>
    <w:rsid w:val="00D5649E"/>
    <w:rsid w:val="00D61098"/>
    <w:rsid w:val="00D6764E"/>
    <w:rsid w:val="00D75549"/>
    <w:rsid w:val="00D75E14"/>
    <w:rsid w:val="00D8630A"/>
    <w:rsid w:val="00D90FAA"/>
    <w:rsid w:val="00DA21EE"/>
    <w:rsid w:val="00DA3B3C"/>
    <w:rsid w:val="00DA68D5"/>
    <w:rsid w:val="00DC3B9A"/>
    <w:rsid w:val="00DC7EF5"/>
    <w:rsid w:val="00DE062E"/>
    <w:rsid w:val="00DF20B1"/>
    <w:rsid w:val="00DF4600"/>
    <w:rsid w:val="00DF6F42"/>
    <w:rsid w:val="00E07375"/>
    <w:rsid w:val="00E07749"/>
    <w:rsid w:val="00E20F80"/>
    <w:rsid w:val="00E220D9"/>
    <w:rsid w:val="00E22847"/>
    <w:rsid w:val="00E24576"/>
    <w:rsid w:val="00E447F7"/>
    <w:rsid w:val="00E47187"/>
    <w:rsid w:val="00E47311"/>
    <w:rsid w:val="00E53D01"/>
    <w:rsid w:val="00E556B6"/>
    <w:rsid w:val="00E5579B"/>
    <w:rsid w:val="00E578EE"/>
    <w:rsid w:val="00E614A0"/>
    <w:rsid w:val="00E62C9E"/>
    <w:rsid w:val="00E701D7"/>
    <w:rsid w:val="00E769CE"/>
    <w:rsid w:val="00E85996"/>
    <w:rsid w:val="00E866B7"/>
    <w:rsid w:val="00E9539B"/>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10138"/>
    <w:rsid w:val="00F12209"/>
    <w:rsid w:val="00F15A3B"/>
    <w:rsid w:val="00F1671E"/>
    <w:rsid w:val="00F20112"/>
    <w:rsid w:val="00F252E9"/>
    <w:rsid w:val="00F3745C"/>
    <w:rsid w:val="00F37EB2"/>
    <w:rsid w:val="00F405B7"/>
    <w:rsid w:val="00F409B1"/>
    <w:rsid w:val="00F40A94"/>
    <w:rsid w:val="00F40AB4"/>
    <w:rsid w:val="00F42776"/>
    <w:rsid w:val="00F47F50"/>
    <w:rsid w:val="00F51704"/>
    <w:rsid w:val="00F5474D"/>
    <w:rsid w:val="00F54F9C"/>
    <w:rsid w:val="00F57C8A"/>
    <w:rsid w:val="00F659C7"/>
    <w:rsid w:val="00F71DF6"/>
    <w:rsid w:val="00F750BE"/>
    <w:rsid w:val="00F77823"/>
    <w:rsid w:val="00F82995"/>
    <w:rsid w:val="00F860D4"/>
    <w:rsid w:val="00F9028C"/>
    <w:rsid w:val="00F91CCE"/>
    <w:rsid w:val="00F9235D"/>
    <w:rsid w:val="00F96E84"/>
    <w:rsid w:val="00F9739B"/>
    <w:rsid w:val="00FA7193"/>
    <w:rsid w:val="00FA7B4B"/>
    <w:rsid w:val="00FB3048"/>
    <w:rsid w:val="00FB5BE9"/>
    <w:rsid w:val="00FB6E23"/>
    <w:rsid w:val="00FB7EC7"/>
    <w:rsid w:val="00FC0692"/>
    <w:rsid w:val="00FC5A9D"/>
    <w:rsid w:val="00FD2ED4"/>
    <w:rsid w:val="00FD320D"/>
    <w:rsid w:val="00FD3F40"/>
    <w:rsid w:val="00FD67E6"/>
    <w:rsid w:val="00FE0A64"/>
    <w:rsid w:val="348D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qFormat/>
    <w:uiPriority w:val="0"/>
    <w:pPr>
      <w:shd w:val="clear" w:color="auto" w:fill="000080"/>
    </w:pPr>
  </w:style>
  <w:style w:type="paragraph" w:styleId="3">
    <w:name w:val="Balloon Text"/>
    <w:basedOn w:val="1"/>
    <w:link w:val="13"/>
    <w:semiHidden/>
    <w:unhideWhenUsed/>
    <w:qFormat/>
    <w:uiPriority w:val="0"/>
    <w:rPr>
      <w:sz w:val="18"/>
      <w:szCs w:val="18"/>
    </w:rPr>
  </w:style>
  <w:style w:type="paragraph" w:styleId="4">
    <w:name w:val="footer"/>
    <w:basedOn w:val="1"/>
    <w:link w:val="12"/>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page number"/>
    <w:basedOn w:val="8"/>
    <w:qFormat/>
    <w:uiPriority w:val="0"/>
  </w:style>
  <w:style w:type="character" w:customStyle="1" w:styleId="11">
    <w:name w:val="页眉 Char"/>
    <w:basedOn w:val="8"/>
    <w:link w:val="5"/>
    <w:qFormat/>
    <w:uiPriority w:val="0"/>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uiPriority w:val="99"/>
    <w:rPr>
      <w:rFonts w:ascii="Times New Roman" w:hAnsi="Times New Roman" w:eastAsia="宋体" w:cs="Times New Roman"/>
      <w:sz w:val="18"/>
      <w:szCs w:val="18"/>
    </w:rPr>
  </w:style>
  <w:style w:type="paragraph" w:customStyle="1" w:styleId="14">
    <w:name w:val="Char Char Char Char"/>
    <w:basedOn w:val="2"/>
    <w:qFormat/>
    <w:uiPriority w:val="0"/>
    <w:pPr>
      <w:widowControl/>
      <w:ind w:firstLine="454"/>
      <w:jc w:val="left"/>
    </w:pPr>
    <w:rPr>
      <w:rFonts w:ascii="Tahoma" w:hAnsi="Tahoma" w:cs="宋体"/>
      <w:kern w:val="0"/>
      <w:szCs w:val="20"/>
    </w:rPr>
  </w:style>
  <w:style w:type="character" w:customStyle="1" w:styleId="15">
    <w:name w:val="文档结构图 Char"/>
    <w:basedOn w:val="8"/>
    <w:link w:val="2"/>
    <w:semiHidden/>
    <w:qFormat/>
    <w:uiPriority w:val="0"/>
    <w:rPr>
      <w:rFonts w:ascii="Times New Roman" w:hAnsi="Times New Roman" w:eastAsia="宋体" w:cs="Times New Roman"/>
      <w:szCs w:val="24"/>
      <w:shd w:val="clear" w:color="auto" w:fill="000080"/>
    </w:rPr>
  </w:style>
  <w:style w:type="paragraph" w:customStyle="1" w:styleId="16">
    <w:name w:val="Char"/>
    <w:basedOn w:val="1"/>
    <w:qFormat/>
    <w:uiPriority w:val="0"/>
    <w:rPr>
      <w:rFonts w:ascii="Tahoma" w:hAnsi="Tahoma"/>
      <w:sz w:val="24"/>
      <w:szCs w:val="20"/>
    </w:rPr>
  </w:style>
  <w:style w:type="paragraph" w:customStyle="1" w:styleId="17">
    <w:name w:val="p0"/>
    <w:basedOn w:val="1"/>
    <w:qFormat/>
    <w:uiPriority w:val="0"/>
    <w:pPr>
      <w:widowControl/>
    </w:pPr>
    <w:rPr>
      <w:kern w:val="0"/>
      <w:szCs w:val="20"/>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753714016838"/>
          <c:y val="0.131620581527936"/>
          <c:w val="0.735779816513765"/>
          <c:h val="0.59375"/>
        </c:manualLayout>
      </c:layout>
      <c:lineChart>
        <c:grouping val="standard"/>
        <c:varyColors val="0"/>
        <c:ser>
          <c:idx val="0"/>
          <c:order val="0"/>
          <c:tx>
            <c:strRef>
              <c:f>Sheet1!$A$2</c:f>
              <c:strCache>
                <c:ptCount val="1"/>
                <c:pt idx="0">
                  <c:v>求人倍率</c:v>
                </c:pt>
              </c:strCache>
            </c:strRef>
          </c:tx>
          <c:spPr>
            <a:ln w="12677" cap="rnd" cmpd="sng" algn="ctr">
              <a:solidFill>
                <a:srgbClr val="000080"/>
              </a:solidFill>
              <a:prstDash val="solid"/>
              <a:round/>
            </a:ln>
          </c:spPr>
          <c:marker>
            <c:symbol val="diamond"/>
            <c:size val="2"/>
            <c:spPr>
              <a:solidFill>
                <a:srgbClr val="000080"/>
              </a:solidFill>
              <a:ln w="9525" cap="flat" cmpd="sng" algn="ctr">
                <a:solidFill>
                  <a:srgbClr val="000080"/>
                </a:solidFill>
                <a:prstDash val="solid"/>
                <a:round/>
              </a:ln>
            </c:spPr>
          </c:marker>
          <c:dLbls>
            <c:delete val="1"/>
          </c:dLbls>
          <c:cat>
            <c:strRef>
              <c:f>Sheet1!$B$1:$M$1</c:f>
              <c:strCache>
                <c:ptCount val="12"/>
                <c:pt idx="0">
                  <c:v>一月</c:v>
                </c:pt>
                <c:pt idx="1">
                  <c:v>二月</c:v>
                </c:pt>
                <c:pt idx="2">
                  <c:v>三月</c:v>
                </c:pt>
                <c:pt idx="3">
                  <c:v>四月</c:v>
                </c:pt>
                <c:pt idx="4">
                  <c:v>五月</c:v>
                </c:pt>
                <c:pt idx="5">
                  <c:v>六月</c:v>
                </c:pt>
                <c:pt idx="6">
                  <c:v>七月</c:v>
                </c:pt>
                <c:pt idx="7">
                  <c:v>八月</c:v>
                </c:pt>
                <c:pt idx="8">
                  <c:v>九月</c:v>
                </c:pt>
                <c:pt idx="9">
                  <c:v>十月</c:v>
                </c:pt>
                <c:pt idx="10">
                  <c:v>十一月</c:v>
                </c:pt>
                <c:pt idx="11">
                  <c:v>十二月</c:v>
                </c:pt>
              </c:strCache>
            </c:strRef>
          </c:cat>
          <c:val>
            <c:numRef>
              <c:f>Sheet1!$B$2:$M$2</c:f>
              <c:numCache>
                <c:formatCode>General</c:formatCode>
                <c:ptCount val="12"/>
                <c:pt idx="0">
                  <c:v>1.27</c:v>
                </c:pt>
                <c:pt idx="1">
                  <c:v>1.25</c:v>
                </c:pt>
                <c:pt idx="2">
                  <c:v>1.24</c:v>
                </c:pt>
                <c:pt idx="3">
                  <c:v>1.23</c:v>
                </c:pt>
                <c:pt idx="4">
                  <c:v>1.21</c:v>
                </c:pt>
                <c:pt idx="5">
                  <c:v>1.2</c:v>
                </c:pt>
                <c:pt idx="6">
                  <c:v>1.2</c:v>
                </c:pt>
                <c:pt idx="7">
                  <c:v>1.21</c:v>
                </c:pt>
                <c:pt idx="8">
                  <c:v>1.2</c:v>
                </c:pt>
                <c:pt idx="9">
                  <c:v>1.21</c:v>
                </c:pt>
                <c:pt idx="10">
                  <c:v>1.23</c:v>
                </c:pt>
                <c:pt idx="11">
                  <c:v>1.25</c:v>
                </c:pt>
              </c:numCache>
            </c:numRef>
          </c:val>
          <c:smooth val="0"/>
        </c:ser>
        <c:dLbls>
          <c:showLegendKey val="0"/>
          <c:showVal val="0"/>
          <c:showCatName val="0"/>
          <c:showSerName val="0"/>
          <c:showPercent val="0"/>
          <c:showBubbleSize val="0"/>
        </c:dLbls>
        <c:marker val="1"/>
        <c:smooth val="0"/>
        <c:axId val="157330048"/>
        <c:axId val="157340416"/>
      </c:lineChart>
      <c:catAx>
        <c:axId val="157330048"/>
        <c:scaling>
          <c:orientation val="minMax"/>
        </c:scaling>
        <c:delete val="0"/>
        <c:axPos val="b"/>
        <c:numFmt formatCode="General" sourceLinked="1"/>
        <c:majorTickMark val="in"/>
        <c:minorTickMark val="none"/>
        <c:tickLblPos val="nextTo"/>
        <c:spPr>
          <a:ln w="3169" cap="flat" cmpd="sng" algn="ctr">
            <a:solidFill>
              <a:srgbClr val="000000"/>
            </a:solidFill>
            <a:prstDash val="solid"/>
            <a:round/>
          </a:ln>
        </c:spPr>
        <c:txPr>
          <a:bodyPr rot="-2700000" spcFirstLastPara="0" vertOverflow="ellipsis" vert="horz" wrap="square" anchor="ctr" anchorCtr="1"/>
          <a:lstStyle/>
          <a:p>
            <a:pPr>
              <a:defRPr lang="zh-CN" sz="1100" b="0" i="1"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7340416"/>
        <c:crosses val="autoZero"/>
        <c:auto val="1"/>
        <c:lblAlgn val="ctr"/>
        <c:lblOffset val="100"/>
        <c:tickLblSkip val="1"/>
        <c:noMultiLvlLbl val="0"/>
      </c:catAx>
      <c:valAx>
        <c:axId val="157340416"/>
        <c:scaling>
          <c:orientation val="minMax"/>
        </c:scaling>
        <c:delete val="0"/>
        <c:axPos val="l"/>
        <c:majorGridlines>
          <c:spPr>
            <a:ln w="3169" cap="flat" cmpd="sng" algn="ctr">
              <a:solidFill>
                <a:srgbClr val="000000"/>
              </a:solidFill>
              <a:prstDash val="solid"/>
              <a:round/>
            </a:ln>
          </c:spPr>
        </c:majorGridlines>
        <c:numFmt formatCode="General" sourceLinked="1"/>
        <c:majorTickMark val="in"/>
        <c:minorTickMark val="none"/>
        <c:tickLblPos val="nextTo"/>
        <c:spPr>
          <a:ln w="3169"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57330048"/>
        <c:crosses val="autoZero"/>
        <c:crossBetween val="between"/>
      </c:valAx>
    </c:plotArea>
    <c:legend>
      <c:legendPos val="r"/>
      <c:layout>
        <c:manualLayout>
          <c:xMode val="edge"/>
          <c:yMode val="edge"/>
          <c:x val="0.84770642201835"/>
          <c:y val="0.348214285714286"/>
          <c:w val="0.144954128440367"/>
          <c:h val="0.0758928571428571"/>
        </c:manualLayout>
      </c:layout>
      <c:overlay val="0"/>
      <c:spPr>
        <a:noFill/>
        <a:ln w="3169">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11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B5C1DC-599C-4BD8-9BAF-266677CBC06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1075</Words>
  <Characters>6132</Characters>
  <Lines>51</Lines>
  <Paragraphs>14</Paragraphs>
  <TotalTime>2</TotalTime>
  <ScaleCrop>false</ScaleCrop>
  <LinksUpToDate>false</LinksUpToDate>
  <CharactersWithSpaces>7193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2020-03-24T01:17:00Z</dcterms:created>
  <dc:creator>User</dc:creator>
  <cp:lastModifiedBy>Icemaples</cp:lastModifiedBy>
  <dcterms:modified xsi:type="dcterms:W3CDTF">2022-01-05T03:17:12Z</dcterms:modified>
  <cp:revision>755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2B3D03E44C7E4996B2FB5676ADCF6A1A</vt:lpwstr>
  </property>
</Properties>
</file>