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宋体" w:hAnsi="宋体"/>
          <w:b/>
          <w:sz w:val="44"/>
          <w:szCs w:val="44"/>
        </w:rPr>
      </w:pPr>
      <w:r>
        <w:rPr>
          <w:rFonts w:hint="eastAsia" w:ascii="宋体" w:hAnsi="宋体"/>
          <w:b/>
          <w:sz w:val="24"/>
        </w:rPr>
        <w:t xml:space="preserve"> </w:t>
      </w:r>
      <w:r>
        <w:rPr>
          <w:rFonts w:ascii="宋体" w:hAnsi="宋体"/>
          <w:b/>
          <w:sz w:val="44"/>
          <w:szCs w:val="44"/>
        </w:rPr>
        <w:t>20</w:t>
      </w:r>
      <w:r>
        <w:rPr>
          <w:rFonts w:hint="eastAsia" w:ascii="宋体" w:hAnsi="宋体"/>
          <w:b/>
          <w:sz w:val="44"/>
          <w:szCs w:val="44"/>
        </w:rPr>
        <w:t>22</w:t>
      </w:r>
      <w:r>
        <w:rPr>
          <w:rFonts w:ascii="宋体" w:hAnsi="宋体"/>
          <w:b/>
          <w:sz w:val="44"/>
          <w:szCs w:val="44"/>
        </w:rPr>
        <w:t>年第</w:t>
      </w:r>
      <w:r>
        <w:rPr>
          <w:rFonts w:hint="eastAsia" w:ascii="宋体" w:hAnsi="宋体"/>
          <w:b/>
          <w:sz w:val="44"/>
          <w:szCs w:val="44"/>
        </w:rPr>
        <w:t>二</w:t>
      </w:r>
      <w:r>
        <w:rPr>
          <w:rFonts w:ascii="宋体" w:hAnsi="宋体"/>
          <w:b/>
          <w:sz w:val="44"/>
          <w:szCs w:val="44"/>
        </w:rPr>
        <w:t>季度</w:t>
      </w:r>
      <w:r>
        <w:rPr>
          <w:rFonts w:hint="eastAsia" w:ascii="宋体" w:hAnsi="宋体"/>
          <w:b/>
          <w:sz w:val="44"/>
          <w:szCs w:val="44"/>
        </w:rPr>
        <w:t>张家港市人力资源</w:t>
      </w:r>
    </w:p>
    <w:p>
      <w:pPr>
        <w:adjustRightInd w:val="0"/>
        <w:snapToGrid w:val="0"/>
        <w:spacing w:line="360" w:lineRule="auto"/>
        <w:jc w:val="center"/>
        <w:rPr>
          <w:rFonts w:ascii="宋体" w:hAnsi="宋体"/>
          <w:b/>
          <w:sz w:val="44"/>
          <w:szCs w:val="44"/>
        </w:rPr>
      </w:pPr>
      <w:r>
        <w:rPr>
          <w:rFonts w:ascii="宋体" w:hAnsi="宋体"/>
          <w:b/>
          <w:sz w:val="44"/>
          <w:szCs w:val="44"/>
        </w:rPr>
        <w:t>市场供求状况分析</w:t>
      </w:r>
    </w:p>
    <w:p>
      <w:pPr>
        <w:adjustRightInd w:val="0"/>
        <w:snapToGrid w:val="0"/>
        <w:spacing w:line="360" w:lineRule="auto"/>
        <w:jc w:val="center"/>
        <w:rPr>
          <w:rFonts w:ascii="宋体" w:hAnsi="宋体"/>
          <w:sz w:val="24"/>
        </w:rPr>
      </w:pPr>
    </w:p>
    <w:p>
      <w:pPr>
        <w:adjustRightInd w:val="0"/>
        <w:snapToGrid w:val="0"/>
        <w:spacing w:line="360" w:lineRule="auto"/>
        <w:jc w:val="center"/>
        <w:rPr>
          <w:rFonts w:ascii="宋体" w:hAnsi="宋体"/>
          <w:sz w:val="24"/>
        </w:rPr>
      </w:pPr>
      <w:r>
        <w:rPr>
          <w:rFonts w:hint="eastAsia" w:ascii="宋体" w:hAnsi="宋体"/>
          <w:sz w:val="24"/>
        </w:rPr>
        <w:t>张家港市人力资源管理服务中心</w:t>
      </w:r>
    </w:p>
    <w:p>
      <w:pPr>
        <w:widowControl/>
        <w:spacing w:before="100" w:beforeAutospacing="1" w:after="100" w:afterAutospacing="1" w:line="360" w:lineRule="auto"/>
        <w:jc w:val="left"/>
        <w:rPr>
          <w:rFonts w:ascii="宋体" w:hAnsi="宋体" w:cs="宋体"/>
          <w:b/>
          <w:bCs/>
          <w:kern w:val="0"/>
          <w:sz w:val="24"/>
        </w:rPr>
      </w:pPr>
      <w:r>
        <w:rPr>
          <w:rFonts w:hint="eastAsia" w:ascii="宋体" w:hAnsi="宋体" w:cs="宋体"/>
          <w:b/>
          <w:bCs/>
          <w:kern w:val="0"/>
          <w:sz w:val="24"/>
        </w:rPr>
        <w:t>一、人力资源市场总体数据概况</w:t>
      </w:r>
    </w:p>
    <w:p>
      <w:pPr>
        <w:widowControl/>
        <w:spacing w:before="100" w:beforeAutospacing="1" w:after="100" w:afterAutospacing="1" w:line="360" w:lineRule="auto"/>
        <w:ind w:firstLine="480" w:firstLineChars="200"/>
        <w:jc w:val="left"/>
        <w:rPr>
          <w:rFonts w:ascii="宋体" w:hAnsi="宋体" w:cs="宋体"/>
          <w:b/>
          <w:bCs/>
          <w:kern w:val="0"/>
          <w:sz w:val="24"/>
        </w:rPr>
      </w:pPr>
      <w:bookmarkStart w:id="0" w:name="_GoBack"/>
      <w:r>
        <w:rPr>
          <w:rFonts w:hint="eastAsia" w:ascii="宋体" w:hAnsi="宋体" w:cs="宋体"/>
          <w:kern w:val="0"/>
          <w:sz w:val="24"/>
        </w:rPr>
        <w:t>今年二季度，我市人力资源市场共提供岗位需求49877个次，求职者39463人次，求人倍率约为1.26，受今年疫情影响上半年求人倍率较2021年同期略有上升，随着五月份疫情逐步好转，我市人力资源市场、各镇（区）人力资源市场在开展线上招聘会、直播荐岗等云聘活动的同时陆续开展线下招聘会，本期数据主要来源于全市人力资源市场现场招聘会以及张家港市人才网站采集的供求状况信息，均为有效数据。</w:t>
      </w:r>
    </w:p>
    <w:bookmarkEnd w:id="0"/>
    <w:p>
      <w:pPr>
        <w:widowControl/>
        <w:spacing w:before="100" w:beforeAutospacing="1" w:after="100" w:afterAutospacing="1" w:line="360" w:lineRule="auto"/>
        <w:jc w:val="left"/>
        <w:rPr>
          <w:rFonts w:ascii="宋体" w:hAnsi="宋体"/>
          <w:b/>
          <w:sz w:val="24"/>
        </w:rPr>
      </w:pPr>
      <w:r>
        <w:rPr>
          <w:rFonts w:hint="eastAsia" w:ascii="宋体" w:hAnsi="宋体"/>
          <w:b/>
          <w:sz w:val="24"/>
        </w:rPr>
        <w:t>二</w:t>
      </w:r>
      <w:r>
        <w:rPr>
          <w:rFonts w:ascii="宋体" w:hAnsi="宋体"/>
          <w:b/>
          <w:sz w:val="24"/>
        </w:rPr>
        <w:t>、供求总体情况</w:t>
      </w:r>
    </w:p>
    <w:p>
      <w:pPr>
        <w:spacing w:line="360" w:lineRule="auto"/>
        <w:rPr>
          <w:rFonts w:ascii="宋体" w:hAnsi="宋体" w:cs="宋体"/>
          <w:color w:val="FF0000"/>
          <w:kern w:val="0"/>
          <w:sz w:val="24"/>
        </w:rPr>
      </w:pPr>
      <w:r>
        <w:rPr>
          <w:rFonts w:hint="eastAsia" w:ascii="宋体" w:hAnsi="宋体" w:cs="宋体"/>
          <w:b/>
          <w:kern w:val="0"/>
          <w:sz w:val="24"/>
        </w:rPr>
        <w:t>（一）供求总体状况：</w:t>
      </w:r>
      <w:r>
        <w:rPr>
          <w:rFonts w:hint="eastAsia" w:ascii="宋体" w:hAnsi="宋体" w:cs="宋体"/>
          <w:kern w:val="0"/>
          <w:sz w:val="24"/>
        </w:rPr>
        <w:t>本季度需求人数49877人，与去年同期相比增加9879人，增幅为24.69%。求职人数为39463人，与去年同期相比增加6545人，增幅为19.88%，本季度需求人数和求职人数比去年同期明显上升。</w:t>
      </w:r>
    </w:p>
    <w:p>
      <w:pPr>
        <w:adjustRightInd w:val="0"/>
        <w:snapToGrid w:val="0"/>
        <w:spacing w:line="360" w:lineRule="auto"/>
        <w:jc w:val="center"/>
        <w:rPr>
          <w:rFonts w:ascii="宋体" w:hAnsi="宋体"/>
          <w:sz w:val="24"/>
        </w:rPr>
      </w:pPr>
      <w:r>
        <w:rPr>
          <w:rFonts w:hint="eastAsia" w:ascii="宋体" w:hAnsi="宋体"/>
          <w:sz w:val="24"/>
        </w:rPr>
        <w:t>表</w:t>
      </w:r>
      <w:r>
        <w:rPr>
          <w:rFonts w:ascii="宋体" w:hAnsi="宋体"/>
          <w:sz w:val="24"/>
        </w:rPr>
        <w:t>1</w:t>
      </w:r>
      <w:r>
        <w:rPr>
          <w:rFonts w:hint="eastAsia" w:ascii="宋体" w:hAnsi="宋体"/>
          <w:sz w:val="24"/>
        </w:rPr>
        <w:t>. 供求总体情况</w:t>
      </w:r>
    </w:p>
    <w:tbl>
      <w:tblPr>
        <w:tblStyle w:val="6"/>
        <w:tblW w:w="0" w:type="auto"/>
        <w:jc w:val="center"/>
        <w:tblLayout w:type="autofit"/>
        <w:tblCellMar>
          <w:top w:w="0" w:type="dxa"/>
          <w:left w:w="0" w:type="dxa"/>
          <w:bottom w:w="0" w:type="dxa"/>
          <w:right w:w="0" w:type="dxa"/>
        </w:tblCellMar>
      </w:tblPr>
      <w:tblGrid>
        <w:gridCol w:w="1347"/>
        <w:gridCol w:w="1607"/>
        <w:gridCol w:w="1585"/>
        <w:gridCol w:w="1500"/>
      </w:tblGrid>
      <w:tr>
        <w:tblPrEx>
          <w:tblCellMar>
            <w:top w:w="0" w:type="dxa"/>
            <w:left w:w="0" w:type="dxa"/>
            <w:bottom w:w="0" w:type="dxa"/>
            <w:right w:w="0" w:type="dxa"/>
          </w:tblCellMar>
        </w:tblPrEx>
        <w:trPr>
          <w:trHeight w:val="820" w:hRule="atLeast"/>
          <w:jc w:val="center"/>
        </w:trPr>
        <w:tc>
          <w:tcPr>
            <w:tcW w:w="1347" w:type="dxa"/>
            <w:tcBorders>
              <w:top w:val="single" w:color="auto" w:sz="8" w:space="0"/>
              <w:left w:val="single" w:color="auto" w:sz="8" w:space="0"/>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ind w:firstLine="420"/>
              <w:jc w:val="center"/>
              <w:rPr>
                <w:rFonts w:ascii="宋体" w:hAnsi="宋体" w:cs="宋体"/>
                <w:kern w:val="0"/>
                <w:sz w:val="24"/>
              </w:rPr>
            </w:pPr>
            <w:r>
              <w:rPr>
                <w:rFonts w:ascii="宋体" w:hAnsi="宋体" w:cs="宋体"/>
                <w:kern w:val="0"/>
                <w:sz w:val="24"/>
              </w:rPr>
              <w:t> </w:t>
            </w:r>
          </w:p>
        </w:tc>
        <w:tc>
          <w:tcPr>
            <w:tcW w:w="1607" w:type="dxa"/>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本季度需求人数（人）</w:t>
            </w:r>
          </w:p>
        </w:tc>
        <w:tc>
          <w:tcPr>
            <w:tcW w:w="1585" w:type="dxa"/>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本季度求职人数（人）</w:t>
            </w:r>
          </w:p>
        </w:tc>
        <w:tc>
          <w:tcPr>
            <w:tcW w:w="1500" w:type="dxa"/>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本季度求人倍率</w:t>
            </w:r>
          </w:p>
        </w:tc>
      </w:tr>
      <w:tr>
        <w:tblPrEx>
          <w:tblCellMar>
            <w:top w:w="0" w:type="dxa"/>
            <w:left w:w="0" w:type="dxa"/>
            <w:bottom w:w="0" w:type="dxa"/>
            <w:right w:w="0" w:type="dxa"/>
          </w:tblCellMar>
        </w:tblPrEx>
        <w:trPr>
          <w:trHeight w:val="804" w:hRule="atLeast"/>
          <w:jc w:val="center"/>
        </w:trPr>
        <w:tc>
          <w:tcPr>
            <w:tcW w:w="1347" w:type="dxa"/>
            <w:tcBorders>
              <w:top w:val="single" w:color="auto" w:sz="8" w:space="0"/>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本期</w:t>
            </w:r>
          </w:p>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有效数</w:t>
            </w:r>
          </w:p>
        </w:tc>
        <w:tc>
          <w:tcPr>
            <w:tcW w:w="160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spacing w:line="360" w:lineRule="auto"/>
              <w:jc w:val="center"/>
              <w:rPr>
                <w:rFonts w:ascii="宋体" w:hAnsi="宋体" w:cs="宋体"/>
                <w:b/>
                <w:bCs/>
                <w:sz w:val="24"/>
              </w:rPr>
            </w:pPr>
            <w:r>
              <w:rPr>
                <w:rFonts w:hint="eastAsia"/>
                <w:b/>
                <w:bCs/>
                <w:sz w:val="24"/>
              </w:rPr>
              <w:t>49877</w:t>
            </w:r>
          </w:p>
        </w:tc>
        <w:tc>
          <w:tcPr>
            <w:tcW w:w="158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spacing w:line="360" w:lineRule="auto"/>
              <w:jc w:val="center"/>
              <w:rPr>
                <w:rFonts w:ascii="宋体" w:hAnsi="宋体" w:cs="宋体"/>
                <w:b/>
                <w:bCs/>
                <w:sz w:val="24"/>
              </w:rPr>
            </w:pPr>
            <w:r>
              <w:rPr>
                <w:rFonts w:hint="eastAsia"/>
                <w:b/>
                <w:bCs/>
                <w:sz w:val="24"/>
              </w:rPr>
              <w:t>39463</w:t>
            </w:r>
          </w:p>
        </w:tc>
        <w:tc>
          <w:tcPr>
            <w:tcW w:w="15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spacing w:line="360" w:lineRule="auto"/>
              <w:jc w:val="center"/>
              <w:rPr>
                <w:rFonts w:ascii="宋体" w:hAnsi="宋体" w:cs="宋体"/>
                <w:sz w:val="24"/>
              </w:rPr>
            </w:pPr>
            <w:r>
              <w:rPr>
                <w:rFonts w:hint="eastAsia"/>
                <w:sz w:val="24"/>
              </w:rPr>
              <w:t>1.26</w:t>
            </w:r>
          </w:p>
        </w:tc>
      </w:tr>
    </w:tbl>
    <w:p>
      <w:pPr>
        <w:adjustRightInd w:val="0"/>
        <w:snapToGrid w:val="0"/>
        <w:spacing w:line="360" w:lineRule="auto"/>
        <w:rPr>
          <w:rFonts w:ascii="宋体" w:hAnsi="宋体"/>
          <w:color w:val="FF0000"/>
          <w:sz w:val="24"/>
        </w:rPr>
      </w:pPr>
    </w:p>
    <w:p>
      <w:pPr>
        <w:adjustRightInd w:val="0"/>
        <w:snapToGrid w:val="0"/>
        <w:spacing w:line="360" w:lineRule="auto"/>
        <w:rPr>
          <w:rFonts w:ascii="宋体" w:hAnsi="宋体"/>
          <w:b/>
          <w:sz w:val="24"/>
        </w:rPr>
      </w:pPr>
      <w:r>
        <w:rPr>
          <w:rFonts w:hint="eastAsia" w:ascii="宋体" w:hAnsi="宋体"/>
          <w:b/>
          <w:sz w:val="24"/>
        </w:rPr>
        <w:t>（二）</w:t>
      </w:r>
      <w:r>
        <w:rPr>
          <w:rFonts w:ascii="宋体" w:hAnsi="宋体"/>
          <w:b/>
          <w:sz w:val="24"/>
        </w:rPr>
        <w:t>分</w:t>
      </w:r>
      <w:r>
        <w:rPr>
          <w:rFonts w:hint="eastAsia" w:ascii="宋体" w:hAnsi="宋体"/>
          <w:b/>
          <w:sz w:val="24"/>
        </w:rPr>
        <w:t>产业、</w:t>
      </w:r>
      <w:r>
        <w:rPr>
          <w:rFonts w:ascii="宋体" w:hAnsi="宋体"/>
          <w:b/>
          <w:sz w:val="24"/>
        </w:rPr>
        <w:t>行业劳动力需求</w:t>
      </w:r>
    </w:p>
    <w:p>
      <w:pPr>
        <w:spacing w:line="360" w:lineRule="auto"/>
        <w:ind w:firstLine="480" w:firstLineChars="200"/>
        <w:rPr>
          <w:rFonts w:ascii="宋体" w:hAnsi="宋体" w:cs="宋体"/>
          <w:color w:val="FF0000"/>
          <w:kern w:val="0"/>
          <w:sz w:val="24"/>
        </w:rPr>
      </w:pPr>
      <w:r>
        <w:rPr>
          <w:rFonts w:hint="eastAsia" w:ascii="宋体" w:hAnsi="宋体" w:cs="宋体"/>
          <w:kern w:val="0"/>
          <w:sz w:val="24"/>
        </w:rPr>
        <w:t>从产业分组情况看，第一产业本季度为</w:t>
      </w:r>
      <w:r>
        <w:rPr>
          <w:rFonts w:ascii="宋体" w:hAnsi="宋体" w:cs="宋体"/>
          <w:kern w:val="0"/>
          <w:sz w:val="24"/>
        </w:rPr>
        <w:t>0</w:t>
      </w:r>
      <w:r>
        <w:rPr>
          <w:rFonts w:hint="eastAsia" w:ascii="宋体" w:hAnsi="宋体" w:cs="宋体"/>
          <w:kern w:val="0"/>
          <w:sz w:val="24"/>
        </w:rPr>
        <w:t>；第二产业本季需求数为33507人，占总需求的67.18%，第三产业本季需求数为16370人，占总需求的32.82%。</w:t>
      </w:r>
    </w:p>
    <w:p>
      <w:pPr>
        <w:adjustRightInd w:val="0"/>
        <w:snapToGrid w:val="0"/>
        <w:spacing w:line="360" w:lineRule="auto"/>
        <w:ind w:firstLine="480" w:firstLineChars="200"/>
        <w:rPr>
          <w:rFonts w:ascii="宋体" w:hAnsi="宋体" w:cs="宋体"/>
          <w:kern w:val="0"/>
          <w:sz w:val="24"/>
        </w:rPr>
      </w:pPr>
      <w:r>
        <w:rPr>
          <w:rFonts w:hint="eastAsia" w:ascii="宋体" w:hAnsi="宋体" w:cs="宋体"/>
          <w:kern w:val="0"/>
          <w:sz w:val="24"/>
        </w:rPr>
        <w:t>第一产业始终为0，第二产业居人力资源市场需求的主导地位，我市用工需求主要集中在生产性企业中。</w:t>
      </w:r>
    </w:p>
    <w:p>
      <w:pPr>
        <w:adjustRightInd w:val="0"/>
        <w:snapToGrid w:val="0"/>
        <w:spacing w:line="360" w:lineRule="auto"/>
        <w:jc w:val="center"/>
        <w:rPr>
          <w:rFonts w:ascii="宋体" w:hAnsi="宋体"/>
          <w:sz w:val="24"/>
        </w:rPr>
      </w:pPr>
      <w:r>
        <w:rPr>
          <w:rFonts w:hint="eastAsia" w:ascii="宋体" w:hAnsi="宋体"/>
          <w:sz w:val="24"/>
        </w:rPr>
        <w:t>表2. 按产业分组的需求人数</w:t>
      </w:r>
    </w:p>
    <w:tbl>
      <w:tblPr>
        <w:tblStyle w:val="6"/>
        <w:tblW w:w="433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398"/>
        <w:gridCol w:w="1466"/>
        <w:gridCol w:w="146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000000"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产业</w:t>
            </w:r>
          </w:p>
        </w:tc>
        <w:tc>
          <w:tcPr>
            <w:tcW w:w="1466" w:type="dxa"/>
            <w:tcBorders>
              <w:top w:val="single" w:color="000000" w:sz="8" w:space="0"/>
              <w:left w:val="nil"/>
              <w:bottom w:val="single" w:color="000000"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本季度需求人数 (人)</w:t>
            </w:r>
          </w:p>
        </w:tc>
        <w:tc>
          <w:tcPr>
            <w:tcW w:w="1466" w:type="dxa"/>
            <w:tcBorders>
              <w:top w:val="single" w:color="000000" w:sz="8" w:space="0"/>
              <w:left w:val="nil"/>
              <w:bottom w:val="single" w:color="000000" w:sz="8" w:space="0"/>
              <w:right w:val="single" w:color="000000"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本季度需求所占比重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第一产业</w:t>
            </w:r>
          </w:p>
        </w:tc>
        <w:tc>
          <w:tcPr>
            <w:tcW w:w="1466"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0</w:t>
            </w:r>
          </w:p>
        </w:tc>
        <w:tc>
          <w:tcPr>
            <w:tcW w:w="1466"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第二产业</w:t>
            </w:r>
          </w:p>
        </w:tc>
        <w:tc>
          <w:tcPr>
            <w:tcW w:w="1466"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33507</w:t>
            </w:r>
          </w:p>
        </w:tc>
        <w:tc>
          <w:tcPr>
            <w:tcW w:w="1466"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67.18%</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第三产业</w:t>
            </w:r>
          </w:p>
        </w:tc>
        <w:tc>
          <w:tcPr>
            <w:tcW w:w="1466"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16370</w:t>
            </w:r>
          </w:p>
        </w:tc>
        <w:tc>
          <w:tcPr>
            <w:tcW w:w="1466"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32.82%</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1466"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49877</w:t>
            </w:r>
          </w:p>
        </w:tc>
        <w:tc>
          <w:tcPr>
            <w:tcW w:w="1466"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100.00%</w:t>
            </w:r>
          </w:p>
        </w:tc>
      </w:tr>
    </w:tbl>
    <w:p>
      <w:pPr>
        <w:adjustRightInd w:val="0"/>
        <w:snapToGrid w:val="0"/>
        <w:spacing w:line="360" w:lineRule="auto"/>
        <w:rPr>
          <w:rFonts w:ascii="宋体" w:hAnsi="宋体"/>
          <w:color w:val="FF0000"/>
          <w:sz w:val="24"/>
        </w:rPr>
      </w:pPr>
      <w:r>
        <w:rPr>
          <w:rFonts w:hint="eastAsia" w:ascii="宋体" w:hAnsi="宋体"/>
          <w:color w:val="FF0000"/>
          <w:sz w:val="24"/>
        </w:rPr>
        <w:t xml:space="preserve">                </w:t>
      </w:r>
    </w:p>
    <w:p>
      <w:pPr>
        <w:adjustRightInd w:val="0"/>
        <w:snapToGrid w:val="0"/>
        <w:spacing w:line="360" w:lineRule="auto"/>
        <w:ind w:firstLine="480" w:firstLineChars="200"/>
        <w:rPr>
          <w:rFonts w:ascii="宋体" w:hAnsi="宋体"/>
          <w:sz w:val="24"/>
        </w:rPr>
      </w:pPr>
      <w:r>
        <w:rPr>
          <w:rFonts w:hint="eastAsia" w:ascii="宋体" w:hAnsi="宋体"/>
          <w:sz w:val="24"/>
        </w:rPr>
        <w:t>从行业需求来看，本季度63.34%的用人需求集中在制造业，其次为</w:t>
      </w:r>
      <w:r>
        <w:rPr>
          <w:rFonts w:hint="eastAsia" w:ascii="宋体" w:hAnsi="宋体" w:cs="宋体"/>
          <w:kern w:val="0"/>
          <w:sz w:val="24"/>
        </w:rPr>
        <w:t>信息传输、计算机服务和软件业</w:t>
      </w:r>
      <w:r>
        <w:rPr>
          <w:rFonts w:hint="eastAsia" w:ascii="宋体" w:hAnsi="宋体"/>
          <w:sz w:val="24"/>
        </w:rPr>
        <w:t>，占总需求的10.39%，再次为</w:t>
      </w:r>
      <w:r>
        <w:rPr>
          <w:rFonts w:hint="eastAsia" w:ascii="宋体" w:hAnsi="宋体" w:cs="宋体"/>
          <w:kern w:val="0"/>
          <w:sz w:val="24"/>
        </w:rPr>
        <w:t>批发和零售业</w:t>
      </w:r>
      <w:r>
        <w:rPr>
          <w:rFonts w:hint="eastAsia" w:ascii="宋体" w:hAnsi="宋体"/>
          <w:sz w:val="24"/>
        </w:rPr>
        <w:t>，占总需求的6.97%。</w:t>
      </w:r>
    </w:p>
    <w:p>
      <w:pPr>
        <w:adjustRightInd w:val="0"/>
        <w:snapToGrid w:val="0"/>
        <w:spacing w:line="360" w:lineRule="auto"/>
        <w:jc w:val="center"/>
        <w:rPr>
          <w:rFonts w:ascii="宋体" w:hAnsi="宋体"/>
          <w:sz w:val="24"/>
        </w:rPr>
      </w:pPr>
      <w:r>
        <w:rPr>
          <w:rFonts w:hint="eastAsia" w:ascii="宋体" w:hAnsi="宋体"/>
          <w:sz w:val="24"/>
        </w:rPr>
        <w:t>表3</w:t>
      </w:r>
      <w:r>
        <w:rPr>
          <w:rFonts w:ascii="宋体" w:hAnsi="宋体"/>
          <w:sz w:val="24"/>
        </w:rPr>
        <w:t>. 按行业分组的需求人数</w:t>
      </w:r>
    </w:p>
    <w:tbl>
      <w:tblPr>
        <w:tblStyle w:val="6"/>
        <w:tblW w:w="3560" w:type="pct"/>
        <w:tblCellSpacing w:w="0" w:type="dxa"/>
        <w:tblInd w:w="0" w:type="dxa"/>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autofit"/>
        <w:tblCellMar>
          <w:top w:w="0" w:type="dxa"/>
          <w:left w:w="0" w:type="dxa"/>
          <w:bottom w:w="0" w:type="dxa"/>
          <w:right w:w="0" w:type="dxa"/>
        </w:tblCellMar>
      </w:tblPr>
      <w:tblGrid>
        <w:gridCol w:w="3472"/>
        <w:gridCol w:w="1269"/>
        <w:gridCol w:w="1223"/>
      </w:tblGrid>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000000" w:sz="8" w:space="0"/>
              <w:left w:val="single" w:color="auto" w:sz="8" w:space="0"/>
              <w:bottom w:val="single" w:color="000000" w:sz="8" w:space="0"/>
              <w:right w:val="single" w:color="auto" w:sz="8" w:space="0"/>
            </w:tcBorders>
            <w:shd w:val="clear" w:color="auto" w:fill="FFFF99"/>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行业</w:t>
            </w:r>
          </w:p>
        </w:tc>
        <w:tc>
          <w:tcPr>
            <w:tcW w:w="1064" w:type="pct"/>
            <w:tcBorders>
              <w:top w:val="single" w:color="000000" w:sz="8" w:space="0"/>
              <w:left w:val="single" w:color="auto" w:sz="8" w:space="0"/>
              <w:bottom w:val="single" w:color="000000" w:sz="8" w:space="0"/>
              <w:right w:val="single" w:color="000000" w:sz="8" w:space="0"/>
            </w:tcBorders>
            <w:shd w:val="clear" w:color="auto" w:fill="FFFF99"/>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本季度需求人数 (人)</w:t>
            </w:r>
          </w:p>
        </w:tc>
        <w:tc>
          <w:tcPr>
            <w:tcW w:w="1025" w:type="pct"/>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本季度需求所占比</w:t>
            </w:r>
            <w:r>
              <w:rPr>
                <w:rFonts w:hint="eastAsia" w:ascii="宋体" w:hAnsi="宋体" w:cs="宋体"/>
                <w:kern w:val="0"/>
                <w:sz w:val="24"/>
              </w:rPr>
              <w:br w:type="textWrapping"/>
            </w:r>
            <w:r>
              <w:rPr>
                <w:rFonts w:hint="eastAsia" w:ascii="宋体" w:hAnsi="宋体" w:cs="宋体"/>
                <w:kern w:val="0"/>
                <w:sz w:val="24"/>
              </w:rPr>
              <w:t>重 (%)</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农、林、牧、渔业</w:t>
            </w:r>
          </w:p>
        </w:tc>
        <w:tc>
          <w:tcPr>
            <w:tcW w:w="1064" w:type="pct"/>
            <w:tcBorders>
              <w:top w:val="single" w:color="000000"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 xml:space="preserve">0 </w:t>
            </w:r>
          </w:p>
        </w:tc>
        <w:tc>
          <w:tcPr>
            <w:tcW w:w="1025"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0.00%</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采矿业</w:t>
            </w:r>
          </w:p>
        </w:tc>
        <w:tc>
          <w:tcPr>
            <w:tcW w:w="1064" w:type="pct"/>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 xml:space="preserve">0 </w:t>
            </w:r>
          </w:p>
        </w:tc>
        <w:tc>
          <w:tcPr>
            <w:tcW w:w="1025"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0.00%</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制造业</w:t>
            </w:r>
          </w:p>
        </w:tc>
        <w:tc>
          <w:tcPr>
            <w:tcW w:w="1064" w:type="pct"/>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 xml:space="preserve">31594 </w:t>
            </w:r>
          </w:p>
        </w:tc>
        <w:tc>
          <w:tcPr>
            <w:tcW w:w="1025"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63.34%</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电力、燃气及水的生产和供应业</w:t>
            </w:r>
          </w:p>
        </w:tc>
        <w:tc>
          <w:tcPr>
            <w:tcW w:w="1064" w:type="pct"/>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 xml:space="preserve">201 </w:t>
            </w:r>
          </w:p>
        </w:tc>
        <w:tc>
          <w:tcPr>
            <w:tcW w:w="1025"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0.40%</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建筑业</w:t>
            </w:r>
          </w:p>
        </w:tc>
        <w:tc>
          <w:tcPr>
            <w:tcW w:w="1064" w:type="pct"/>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 xml:space="preserve">1913 </w:t>
            </w:r>
          </w:p>
        </w:tc>
        <w:tc>
          <w:tcPr>
            <w:tcW w:w="1025"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3.84%</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交通运输、仓储和邮政业</w:t>
            </w:r>
          </w:p>
        </w:tc>
        <w:tc>
          <w:tcPr>
            <w:tcW w:w="1064" w:type="pct"/>
            <w:tcBorders>
              <w:top w:val="single" w:color="auto" w:sz="8" w:space="0"/>
              <w:left w:val="single" w:color="auto"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 xml:space="preserve">528 </w:t>
            </w:r>
          </w:p>
        </w:tc>
        <w:tc>
          <w:tcPr>
            <w:tcW w:w="1025" w:type="pct"/>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1.06%</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信息传输、计算机服务和软件业</w:t>
            </w:r>
          </w:p>
        </w:tc>
        <w:tc>
          <w:tcPr>
            <w:tcW w:w="1064" w:type="pct"/>
            <w:tcBorders>
              <w:top w:val="single" w:color="000000"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 xml:space="preserve">5180 </w:t>
            </w:r>
          </w:p>
        </w:tc>
        <w:tc>
          <w:tcPr>
            <w:tcW w:w="1025"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10.39%</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批发和零售业</w:t>
            </w:r>
          </w:p>
        </w:tc>
        <w:tc>
          <w:tcPr>
            <w:tcW w:w="1064" w:type="pct"/>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 xml:space="preserve">3478 </w:t>
            </w:r>
          </w:p>
        </w:tc>
        <w:tc>
          <w:tcPr>
            <w:tcW w:w="1025"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6.97%</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住宿和餐饮业</w:t>
            </w:r>
          </w:p>
        </w:tc>
        <w:tc>
          <w:tcPr>
            <w:tcW w:w="1064" w:type="pct"/>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 xml:space="preserve">1650 </w:t>
            </w:r>
          </w:p>
        </w:tc>
        <w:tc>
          <w:tcPr>
            <w:tcW w:w="1025"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3.31%</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金融业</w:t>
            </w:r>
          </w:p>
        </w:tc>
        <w:tc>
          <w:tcPr>
            <w:tcW w:w="1064"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 xml:space="preserve">165 </w:t>
            </w:r>
          </w:p>
        </w:tc>
        <w:tc>
          <w:tcPr>
            <w:tcW w:w="1025"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0.33%</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房地产业</w:t>
            </w:r>
          </w:p>
        </w:tc>
        <w:tc>
          <w:tcPr>
            <w:tcW w:w="1064"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 xml:space="preserve">114 </w:t>
            </w:r>
          </w:p>
        </w:tc>
        <w:tc>
          <w:tcPr>
            <w:tcW w:w="1025"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0.23%</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租赁和商务服务业</w:t>
            </w:r>
          </w:p>
        </w:tc>
        <w:tc>
          <w:tcPr>
            <w:tcW w:w="1064"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 xml:space="preserve">134 </w:t>
            </w:r>
          </w:p>
        </w:tc>
        <w:tc>
          <w:tcPr>
            <w:tcW w:w="1025"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0.27%</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科学研究、技术服务和地质勘查业</w:t>
            </w:r>
          </w:p>
        </w:tc>
        <w:tc>
          <w:tcPr>
            <w:tcW w:w="1064" w:type="pct"/>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 xml:space="preserve">176 </w:t>
            </w:r>
          </w:p>
        </w:tc>
        <w:tc>
          <w:tcPr>
            <w:tcW w:w="1025" w:type="pct"/>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0.35%</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000000"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水利、环境和公共设施管理业</w:t>
            </w:r>
          </w:p>
        </w:tc>
        <w:tc>
          <w:tcPr>
            <w:tcW w:w="1064" w:type="pct"/>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 xml:space="preserve">219 </w:t>
            </w:r>
          </w:p>
        </w:tc>
        <w:tc>
          <w:tcPr>
            <w:tcW w:w="1025" w:type="pct"/>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0.44%</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居民服务和其他服务业</w:t>
            </w:r>
          </w:p>
        </w:tc>
        <w:tc>
          <w:tcPr>
            <w:tcW w:w="1064"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 xml:space="preserve">2591 </w:t>
            </w:r>
          </w:p>
        </w:tc>
        <w:tc>
          <w:tcPr>
            <w:tcW w:w="1025"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5.19%</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教育</w:t>
            </w:r>
          </w:p>
        </w:tc>
        <w:tc>
          <w:tcPr>
            <w:tcW w:w="1064"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 xml:space="preserve">356 </w:t>
            </w:r>
          </w:p>
        </w:tc>
        <w:tc>
          <w:tcPr>
            <w:tcW w:w="1025"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0.71%</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卫生、社会保障和社会福利业</w:t>
            </w:r>
          </w:p>
        </w:tc>
        <w:tc>
          <w:tcPr>
            <w:tcW w:w="1064" w:type="pct"/>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 xml:space="preserve">786 </w:t>
            </w:r>
          </w:p>
        </w:tc>
        <w:tc>
          <w:tcPr>
            <w:tcW w:w="1025" w:type="pct"/>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1.58%</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000000"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文化、体育和娱乐业</w:t>
            </w:r>
          </w:p>
        </w:tc>
        <w:tc>
          <w:tcPr>
            <w:tcW w:w="1064" w:type="pct"/>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 xml:space="preserve">246 </w:t>
            </w:r>
          </w:p>
        </w:tc>
        <w:tc>
          <w:tcPr>
            <w:tcW w:w="1025" w:type="pct"/>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0.49%</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公共管理与社会组织</w:t>
            </w:r>
          </w:p>
        </w:tc>
        <w:tc>
          <w:tcPr>
            <w:tcW w:w="1064"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 xml:space="preserve">546 </w:t>
            </w:r>
          </w:p>
        </w:tc>
        <w:tc>
          <w:tcPr>
            <w:tcW w:w="1025"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1.09%</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国际组织</w:t>
            </w:r>
          </w:p>
        </w:tc>
        <w:tc>
          <w:tcPr>
            <w:tcW w:w="1064" w:type="pct"/>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 xml:space="preserve">0 </w:t>
            </w:r>
          </w:p>
        </w:tc>
        <w:tc>
          <w:tcPr>
            <w:tcW w:w="1025" w:type="pct"/>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0.00%</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1064"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 xml:space="preserve">49877 </w:t>
            </w:r>
          </w:p>
        </w:tc>
        <w:tc>
          <w:tcPr>
            <w:tcW w:w="1025"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100.00%</w:t>
            </w:r>
          </w:p>
        </w:tc>
      </w:tr>
    </w:tbl>
    <w:p>
      <w:pPr>
        <w:adjustRightInd w:val="0"/>
        <w:snapToGrid w:val="0"/>
        <w:spacing w:line="360" w:lineRule="auto"/>
        <w:rPr>
          <w:rFonts w:ascii="宋体" w:hAnsi="宋体"/>
          <w:color w:val="FF0000"/>
          <w:sz w:val="24"/>
        </w:rPr>
      </w:pPr>
    </w:p>
    <w:p>
      <w:pPr>
        <w:adjustRightInd w:val="0"/>
        <w:snapToGrid w:val="0"/>
        <w:spacing w:line="360" w:lineRule="auto"/>
        <w:rPr>
          <w:rFonts w:ascii="宋体" w:hAnsi="宋体"/>
          <w:b/>
          <w:sz w:val="24"/>
        </w:rPr>
      </w:pPr>
      <w:r>
        <w:rPr>
          <w:rFonts w:hint="eastAsia" w:ascii="宋体" w:hAnsi="宋体"/>
          <w:b/>
          <w:sz w:val="24"/>
        </w:rPr>
        <w:t>（三）</w:t>
      </w:r>
      <w:r>
        <w:rPr>
          <w:rFonts w:ascii="宋体" w:hAnsi="宋体"/>
          <w:b/>
          <w:sz w:val="24"/>
        </w:rPr>
        <w:t>、用人单位需求情况</w:t>
      </w:r>
    </w:p>
    <w:p>
      <w:pPr>
        <w:adjustRightInd w:val="0"/>
        <w:snapToGrid w:val="0"/>
        <w:spacing w:line="360" w:lineRule="auto"/>
        <w:ind w:firstLine="480" w:firstLineChars="200"/>
        <w:rPr>
          <w:rFonts w:ascii="宋体" w:hAnsi="宋体"/>
          <w:color w:val="FF0000"/>
          <w:sz w:val="24"/>
        </w:rPr>
      </w:pPr>
      <w:r>
        <w:rPr>
          <w:rFonts w:hint="eastAsia" w:ascii="宋体" w:hAnsi="Verdana" w:cs="宋体"/>
          <w:kern w:val="0"/>
          <w:sz w:val="24"/>
        </w:rPr>
        <w:t>按不同的经济类型单位需求情况看，本季度企业需求人数为49877人。企业中需求人数所占比重最多的是内资企业，共46038人，占企业总数的92.30%，内资企业中用工需求主要集中在有限责任公司、私营企业、股份有限公司。</w:t>
      </w:r>
    </w:p>
    <w:p>
      <w:pPr>
        <w:widowControl/>
        <w:adjustRightInd w:val="0"/>
        <w:snapToGrid w:val="0"/>
        <w:spacing w:beforeAutospacing="1" w:afterAutospacing="1" w:line="360" w:lineRule="auto"/>
        <w:jc w:val="center"/>
        <w:rPr>
          <w:rFonts w:ascii="宋体" w:hAnsi="宋体" w:cs="宋体"/>
          <w:kern w:val="0"/>
          <w:sz w:val="24"/>
        </w:rPr>
      </w:pPr>
      <w:r>
        <w:rPr>
          <w:rFonts w:hint="eastAsia" w:ascii="宋体" w:hAnsi="宋体" w:cs="宋体"/>
          <w:kern w:val="0"/>
          <w:sz w:val="24"/>
        </w:rPr>
        <w:t>表4. 按经济类型分组的需求人数</w:t>
      </w:r>
    </w:p>
    <w:tbl>
      <w:tblPr>
        <w:tblStyle w:val="6"/>
        <w:tblW w:w="3357" w:type="pct"/>
        <w:jc w:val="center"/>
        <w:tblCellSpacing w:w="0" w:type="dxa"/>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autofit"/>
        <w:tblCellMar>
          <w:top w:w="0" w:type="dxa"/>
          <w:left w:w="0" w:type="dxa"/>
          <w:bottom w:w="0" w:type="dxa"/>
          <w:right w:w="0" w:type="dxa"/>
        </w:tblCellMar>
      </w:tblPr>
      <w:tblGrid>
        <w:gridCol w:w="2560"/>
        <w:gridCol w:w="1448"/>
        <w:gridCol w:w="1616"/>
      </w:tblGrid>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经济类型</w:t>
            </w:r>
          </w:p>
        </w:tc>
        <w:tc>
          <w:tcPr>
            <w:tcW w:w="1287" w:type="pct"/>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pPr>
              <w:spacing w:line="360" w:lineRule="auto"/>
              <w:jc w:val="center"/>
              <w:rPr>
                <w:sz w:val="24"/>
              </w:rPr>
            </w:pPr>
            <w:r>
              <w:rPr>
                <w:rFonts w:hint="eastAsia"/>
                <w:sz w:val="24"/>
              </w:rPr>
              <w:t>本季度</w:t>
            </w:r>
          </w:p>
          <w:p>
            <w:pPr>
              <w:spacing w:line="360" w:lineRule="auto"/>
              <w:jc w:val="center"/>
              <w:rPr>
                <w:rFonts w:ascii="宋体" w:hAnsi="宋体" w:cs="宋体"/>
                <w:sz w:val="24"/>
              </w:rPr>
            </w:pPr>
            <w:r>
              <w:rPr>
                <w:rFonts w:hint="eastAsia"/>
                <w:sz w:val="24"/>
              </w:rPr>
              <w:t>需求人数 (人)</w:t>
            </w:r>
          </w:p>
        </w:tc>
        <w:tc>
          <w:tcPr>
            <w:tcW w:w="1437" w:type="pct"/>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pPr>
              <w:spacing w:line="360" w:lineRule="auto"/>
              <w:jc w:val="center"/>
              <w:rPr>
                <w:rFonts w:ascii="宋体" w:hAnsi="宋体" w:cs="宋体"/>
                <w:sz w:val="24"/>
              </w:rPr>
            </w:pPr>
            <w:r>
              <w:rPr>
                <w:rFonts w:hint="eastAsia"/>
                <w:sz w:val="24"/>
              </w:rPr>
              <w:t>本季度需求所占比重 (%)</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企业</w:t>
            </w:r>
          </w:p>
        </w:tc>
        <w:tc>
          <w:tcPr>
            <w:tcW w:w="128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bottom"/>
          </w:tcPr>
          <w:p>
            <w:pPr>
              <w:jc w:val="center"/>
              <w:rPr>
                <w:rFonts w:ascii="宋体" w:hAnsi="宋体" w:cs="宋体"/>
                <w:sz w:val="24"/>
              </w:rPr>
            </w:pPr>
            <w:r>
              <w:rPr>
                <w:rFonts w:hint="eastAsia"/>
                <w:sz w:val="24"/>
              </w:rPr>
              <w:t xml:space="preserve">49672 </w:t>
            </w:r>
          </w:p>
        </w:tc>
        <w:tc>
          <w:tcPr>
            <w:tcW w:w="143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99.59%</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其中：内资企业</w:t>
            </w:r>
          </w:p>
        </w:tc>
        <w:tc>
          <w:tcPr>
            <w:tcW w:w="128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 xml:space="preserve">46038 </w:t>
            </w:r>
          </w:p>
        </w:tc>
        <w:tc>
          <w:tcPr>
            <w:tcW w:w="143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92.30%</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center"/>
              <w:rPr>
                <w:rFonts w:ascii="宋体" w:hAnsi="宋体" w:cs="宋体"/>
                <w:kern w:val="0"/>
                <w:sz w:val="24"/>
              </w:rPr>
            </w:pPr>
            <w:r>
              <w:rPr>
                <w:rFonts w:hint="eastAsia" w:ascii="宋体" w:hAnsi="宋体" w:cs="宋体"/>
                <w:kern w:val="0"/>
                <w:sz w:val="24"/>
              </w:rPr>
              <w:t>国有企业</w:t>
            </w:r>
          </w:p>
        </w:tc>
        <w:tc>
          <w:tcPr>
            <w:tcW w:w="128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 xml:space="preserve">1018 </w:t>
            </w:r>
          </w:p>
        </w:tc>
        <w:tc>
          <w:tcPr>
            <w:tcW w:w="143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2.04%</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auto"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center"/>
              <w:rPr>
                <w:rFonts w:ascii="宋体" w:hAnsi="宋体" w:cs="宋体"/>
                <w:kern w:val="0"/>
                <w:sz w:val="24"/>
              </w:rPr>
            </w:pPr>
            <w:r>
              <w:rPr>
                <w:rFonts w:hint="eastAsia" w:ascii="宋体" w:hAnsi="宋体" w:cs="宋体"/>
                <w:kern w:val="0"/>
                <w:sz w:val="24"/>
              </w:rPr>
              <w:t>集体企业</w:t>
            </w:r>
          </w:p>
        </w:tc>
        <w:tc>
          <w:tcPr>
            <w:tcW w:w="1287" w:type="pct"/>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 xml:space="preserve">264 </w:t>
            </w:r>
          </w:p>
        </w:tc>
        <w:tc>
          <w:tcPr>
            <w:tcW w:w="1437" w:type="pct"/>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0.53%</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center"/>
              <w:rPr>
                <w:rFonts w:ascii="宋体" w:hAnsi="宋体" w:cs="宋体"/>
                <w:kern w:val="0"/>
                <w:sz w:val="24"/>
              </w:rPr>
            </w:pPr>
            <w:r>
              <w:rPr>
                <w:rFonts w:hint="eastAsia" w:ascii="宋体" w:hAnsi="宋体" w:cs="宋体"/>
                <w:kern w:val="0"/>
                <w:sz w:val="24"/>
              </w:rPr>
              <w:t>股份合作企业</w:t>
            </w:r>
          </w:p>
        </w:tc>
        <w:tc>
          <w:tcPr>
            <w:tcW w:w="128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 xml:space="preserve">4170 </w:t>
            </w:r>
          </w:p>
        </w:tc>
        <w:tc>
          <w:tcPr>
            <w:tcW w:w="143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8.36%</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auto"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center"/>
              <w:rPr>
                <w:rFonts w:ascii="宋体" w:hAnsi="宋体" w:cs="宋体"/>
                <w:kern w:val="0"/>
                <w:sz w:val="24"/>
              </w:rPr>
            </w:pPr>
            <w:r>
              <w:rPr>
                <w:rFonts w:hint="eastAsia" w:ascii="宋体" w:hAnsi="宋体" w:cs="宋体"/>
                <w:kern w:val="0"/>
                <w:sz w:val="24"/>
              </w:rPr>
              <w:t>联营企业</w:t>
            </w:r>
          </w:p>
        </w:tc>
        <w:tc>
          <w:tcPr>
            <w:tcW w:w="1287"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 xml:space="preserve">587 </w:t>
            </w:r>
          </w:p>
        </w:tc>
        <w:tc>
          <w:tcPr>
            <w:tcW w:w="1437"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1.18%</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auto"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center"/>
              <w:rPr>
                <w:rFonts w:ascii="宋体" w:hAnsi="宋体" w:cs="宋体"/>
                <w:kern w:val="0"/>
                <w:sz w:val="24"/>
              </w:rPr>
            </w:pPr>
            <w:r>
              <w:rPr>
                <w:rFonts w:hint="eastAsia" w:ascii="宋体" w:hAnsi="宋体" w:cs="宋体"/>
                <w:kern w:val="0"/>
                <w:sz w:val="24"/>
              </w:rPr>
              <w:t>有限责任公司</w:t>
            </w:r>
          </w:p>
        </w:tc>
        <w:tc>
          <w:tcPr>
            <w:tcW w:w="1287"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 xml:space="preserve">21964 </w:t>
            </w:r>
          </w:p>
        </w:tc>
        <w:tc>
          <w:tcPr>
            <w:tcW w:w="1437"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44.04%</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center"/>
              <w:rPr>
                <w:rFonts w:ascii="宋体" w:hAnsi="宋体" w:cs="宋体"/>
                <w:kern w:val="0"/>
                <w:sz w:val="24"/>
              </w:rPr>
            </w:pPr>
            <w:r>
              <w:rPr>
                <w:rFonts w:hint="eastAsia" w:ascii="宋体" w:hAnsi="宋体" w:cs="宋体"/>
                <w:kern w:val="0"/>
                <w:sz w:val="24"/>
              </w:rPr>
              <w:t>股份有限公司</w:t>
            </w:r>
          </w:p>
        </w:tc>
        <w:tc>
          <w:tcPr>
            <w:tcW w:w="128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 xml:space="preserve">6342 </w:t>
            </w:r>
          </w:p>
        </w:tc>
        <w:tc>
          <w:tcPr>
            <w:tcW w:w="143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12.72%</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center"/>
              <w:rPr>
                <w:rFonts w:ascii="宋体" w:hAnsi="宋体" w:cs="宋体"/>
                <w:kern w:val="0"/>
                <w:sz w:val="24"/>
              </w:rPr>
            </w:pPr>
            <w:r>
              <w:rPr>
                <w:rFonts w:hint="eastAsia" w:ascii="宋体" w:hAnsi="宋体" w:cs="宋体"/>
                <w:kern w:val="0"/>
                <w:sz w:val="24"/>
              </w:rPr>
              <w:t>私营企业</w:t>
            </w:r>
          </w:p>
        </w:tc>
        <w:tc>
          <w:tcPr>
            <w:tcW w:w="128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 xml:space="preserve">6489 </w:t>
            </w:r>
          </w:p>
        </w:tc>
        <w:tc>
          <w:tcPr>
            <w:tcW w:w="143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13.01%</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center"/>
              <w:rPr>
                <w:rFonts w:ascii="宋体" w:hAnsi="宋体" w:cs="宋体"/>
                <w:kern w:val="0"/>
                <w:sz w:val="24"/>
              </w:rPr>
            </w:pPr>
            <w:r>
              <w:rPr>
                <w:rFonts w:hint="eastAsia" w:ascii="宋体" w:hAnsi="宋体" w:cs="宋体"/>
                <w:kern w:val="0"/>
                <w:sz w:val="24"/>
              </w:rPr>
              <w:t>其它企业</w:t>
            </w:r>
          </w:p>
        </w:tc>
        <w:tc>
          <w:tcPr>
            <w:tcW w:w="128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 xml:space="preserve">5204 </w:t>
            </w:r>
          </w:p>
        </w:tc>
        <w:tc>
          <w:tcPr>
            <w:tcW w:w="143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10.43%</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港、澳、台投资企业</w:t>
            </w:r>
          </w:p>
        </w:tc>
        <w:tc>
          <w:tcPr>
            <w:tcW w:w="128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 xml:space="preserve">1701 </w:t>
            </w:r>
          </w:p>
        </w:tc>
        <w:tc>
          <w:tcPr>
            <w:tcW w:w="143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3.41%</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外商投资企业</w:t>
            </w:r>
          </w:p>
        </w:tc>
        <w:tc>
          <w:tcPr>
            <w:tcW w:w="128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 xml:space="preserve">1518 </w:t>
            </w:r>
          </w:p>
        </w:tc>
        <w:tc>
          <w:tcPr>
            <w:tcW w:w="143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3.04%</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auto"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660"/>
              <w:jc w:val="center"/>
              <w:rPr>
                <w:rFonts w:ascii="宋体" w:hAnsi="宋体" w:cs="宋体"/>
                <w:kern w:val="0"/>
                <w:sz w:val="24"/>
              </w:rPr>
            </w:pPr>
            <w:r>
              <w:rPr>
                <w:rFonts w:hint="eastAsia" w:ascii="宋体" w:hAnsi="宋体" w:cs="宋体"/>
                <w:kern w:val="0"/>
                <w:sz w:val="24"/>
              </w:rPr>
              <w:t>个体经营</w:t>
            </w:r>
          </w:p>
        </w:tc>
        <w:tc>
          <w:tcPr>
            <w:tcW w:w="1287" w:type="pct"/>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 xml:space="preserve">415 </w:t>
            </w:r>
          </w:p>
        </w:tc>
        <w:tc>
          <w:tcPr>
            <w:tcW w:w="1437" w:type="pct"/>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0.83%</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事业</w:t>
            </w:r>
          </w:p>
        </w:tc>
        <w:tc>
          <w:tcPr>
            <w:tcW w:w="1287"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 xml:space="preserve">163 </w:t>
            </w:r>
          </w:p>
        </w:tc>
        <w:tc>
          <w:tcPr>
            <w:tcW w:w="1437"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0.33%</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auto"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机关</w:t>
            </w:r>
          </w:p>
        </w:tc>
        <w:tc>
          <w:tcPr>
            <w:tcW w:w="1287" w:type="pct"/>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 xml:space="preserve">0 </w:t>
            </w:r>
          </w:p>
        </w:tc>
        <w:tc>
          <w:tcPr>
            <w:tcW w:w="1437" w:type="pct"/>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0.00%</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其他</w:t>
            </w:r>
          </w:p>
        </w:tc>
        <w:tc>
          <w:tcPr>
            <w:tcW w:w="128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 xml:space="preserve">42 </w:t>
            </w:r>
          </w:p>
        </w:tc>
        <w:tc>
          <w:tcPr>
            <w:tcW w:w="143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0.08%</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FFFFFF"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1287" w:type="pct"/>
            <w:tcBorders>
              <w:top w:val="single" w:color="000000" w:sz="8" w:space="0"/>
              <w:left w:val="single" w:color="000000" w:sz="8" w:space="0"/>
              <w:bottom w:val="single" w:color="FFFFFF"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49877</w:t>
            </w:r>
          </w:p>
        </w:tc>
        <w:tc>
          <w:tcPr>
            <w:tcW w:w="1437" w:type="pct"/>
            <w:tcBorders>
              <w:top w:val="single" w:color="000000" w:sz="8" w:space="0"/>
              <w:left w:val="single" w:color="000000" w:sz="8" w:space="0"/>
              <w:bottom w:val="single" w:color="FFFFFF"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sz w:val="24"/>
              </w:rPr>
              <w:t>100.00%</w:t>
            </w:r>
          </w:p>
        </w:tc>
      </w:tr>
    </w:tbl>
    <w:p>
      <w:pPr>
        <w:adjustRightInd w:val="0"/>
        <w:snapToGrid w:val="0"/>
        <w:spacing w:line="360" w:lineRule="auto"/>
        <w:ind w:firstLine="480" w:firstLineChars="200"/>
        <w:rPr>
          <w:rFonts w:ascii="宋体" w:hAnsi="宋体"/>
          <w:color w:val="FF0000"/>
          <w:sz w:val="24"/>
        </w:rPr>
      </w:pPr>
    </w:p>
    <w:p>
      <w:pPr>
        <w:adjustRightInd w:val="0"/>
        <w:snapToGrid w:val="0"/>
        <w:spacing w:line="360" w:lineRule="auto"/>
        <w:rPr>
          <w:rFonts w:ascii="宋体" w:hAnsi="宋体"/>
          <w:b/>
          <w:sz w:val="24"/>
        </w:rPr>
      </w:pPr>
      <w:r>
        <w:rPr>
          <w:rFonts w:hint="eastAsia" w:ascii="宋体" w:hAnsi="宋体"/>
          <w:b/>
          <w:sz w:val="24"/>
        </w:rPr>
        <w:t>（四）</w:t>
      </w:r>
      <w:r>
        <w:rPr>
          <w:rFonts w:ascii="宋体" w:hAnsi="宋体"/>
          <w:b/>
          <w:sz w:val="24"/>
        </w:rPr>
        <w:t>、</w:t>
      </w:r>
      <w:r>
        <w:rPr>
          <w:rFonts w:hint="eastAsia" w:ascii="宋体" w:hAnsi="宋体"/>
          <w:b/>
          <w:sz w:val="24"/>
        </w:rPr>
        <w:t>按</w:t>
      </w:r>
      <w:r>
        <w:rPr>
          <w:rFonts w:ascii="宋体" w:hAnsi="宋体"/>
          <w:b/>
          <w:sz w:val="24"/>
        </w:rPr>
        <w:t>职业供求情况分析</w:t>
      </w:r>
    </w:p>
    <w:p>
      <w:pPr>
        <w:adjustRightInd w:val="0"/>
        <w:snapToGrid w:val="0"/>
        <w:spacing w:line="360" w:lineRule="auto"/>
        <w:ind w:firstLine="420"/>
        <w:rPr>
          <w:rFonts w:ascii="宋体" w:hAnsi="宋体"/>
          <w:sz w:val="24"/>
        </w:rPr>
      </w:pPr>
      <w:r>
        <w:rPr>
          <w:rFonts w:hint="eastAsia" w:ascii="宋体" w:hAnsi="宋体" w:cs="宋体"/>
          <w:kern w:val="0"/>
          <w:sz w:val="24"/>
        </w:rPr>
        <w:t>从职业供求情况来看，操作工需求和求职人数最多，比重均最大，超过一半，从数量上缺口也最大。这一情况与去年同期及上期供求情况相似，也是我市以制造业为主的产业结构的体现。</w:t>
      </w:r>
    </w:p>
    <w:p>
      <w:pPr>
        <w:adjustRightInd w:val="0"/>
        <w:snapToGrid w:val="0"/>
        <w:spacing w:line="360" w:lineRule="auto"/>
        <w:jc w:val="center"/>
        <w:rPr>
          <w:rFonts w:ascii="宋体" w:hAnsi="宋体"/>
          <w:sz w:val="24"/>
        </w:rPr>
      </w:pPr>
      <w:r>
        <w:rPr>
          <w:rFonts w:hint="eastAsia" w:ascii="宋体" w:hAnsi="宋体"/>
          <w:sz w:val="24"/>
        </w:rPr>
        <w:t xml:space="preserve">表5. </w:t>
      </w:r>
      <w:r>
        <w:rPr>
          <w:rFonts w:ascii="宋体" w:hAnsi="宋体"/>
          <w:sz w:val="24"/>
        </w:rPr>
        <w:t>按职业分组的供求人数</w:t>
      </w:r>
    </w:p>
    <w:tbl>
      <w:tblPr>
        <w:tblStyle w:val="6"/>
        <w:tblW w:w="4068" w:type="pct"/>
        <w:tblInd w:w="0" w:type="dxa"/>
        <w:tblLayout w:type="autofit"/>
        <w:tblCellMar>
          <w:top w:w="0" w:type="dxa"/>
          <w:left w:w="0" w:type="dxa"/>
          <w:bottom w:w="0" w:type="dxa"/>
          <w:right w:w="0" w:type="dxa"/>
        </w:tblCellMar>
      </w:tblPr>
      <w:tblGrid>
        <w:gridCol w:w="1947"/>
        <w:gridCol w:w="936"/>
        <w:gridCol w:w="1076"/>
        <w:gridCol w:w="936"/>
        <w:gridCol w:w="1077"/>
        <w:gridCol w:w="961"/>
      </w:tblGrid>
      <w:tr>
        <w:tblPrEx>
          <w:tblCellMar>
            <w:top w:w="0" w:type="dxa"/>
            <w:left w:w="0" w:type="dxa"/>
            <w:bottom w:w="0" w:type="dxa"/>
            <w:right w:w="0" w:type="dxa"/>
          </w:tblCellMar>
        </w:tblPrEx>
        <w:trPr>
          <w:cantSplit/>
          <w:trHeight w:val="397" w:hRule="atLeast"/>
        </w:trPr>
        <w:tc>
          <w:tcPr>
            <w:tcW w:w="1509" w:type="pct"/>
            <w:vMerge w:val="restart"/>
            <w:tcBorders>
              <w:top w:val="single" w:color="auto" w:sz="8" w:space="0"/>
              <w:left w:val="single" w:color="auto" w:sz="8" w:space="0"/>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职业类别</w:t>
            </w:r>
          </w:p>
        </w:tc>
        <w:tc>
          <w:tcPr>
            <w:tcW w:w="3491" w:type="pct"/>
            <w:gridSpan w:val="5"/>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劳动力供求人数比较</w:t>
            </w:r>
          </w:p>
        </w:tc>
      </w:tr>
      <w:tr>
        <w:tblPrEx>
          <w:tblCellMar>
            <w:top w:w="0" w:type="dxa"/>
            <w:left w:w="0" w:type="dxa"/>
            <w:bottom w:w="0" w:type="dxa"/>
            <w:right w:w="0" w:type="dxa"/>
          </w:tblCellMar>
        </w:tblPrEx>
        <w:trPr>
          <w:cantSplit/>
          <w:trHeight w:val="397" w:hRule="atLeast"/>
        </w:trPr>
        <w:tc>
          <w:tcPr>
            <w:tcW w:w="1509" w:type="pct"/>
            <w:vMerge w:val="continue"/>
            <w:tcBorders>
              <w:top w:val="single" w:color="auto" w:sz="8" w:space="0"/>
              <w:left w:val="single" w:color="auto" w:sz="8" w:space="0"/>
              <w:bottom w:val="single" w:color="auto" w:sz="8" w:space="0"/>
              <w:right w:val="single" w:color="auto" w:sz="8" w:space="0"/>
            </w:tcBorders>
            <w:vAlign w:val="center"/>
          </w:tcPr>
          <w:p>
            <w:pPr>
              <w:widowControl/>
              <w:spacing w:line="360" w:lineRule="auto"/>
              <w:jc w:val="center"/>
              <w:rPr>
                <w:rFonts w:ascii="Verdana" w:hAnsi="Verdana" w:cs="宋体"/>
                <w:kern w:val="0"/>
                <w:sz w:val="24"/>
              </w:rPr>
            </w:pPr>
          </w:p>
        </w:tc>
        <w:tc>
          <w:tcPr>
            <w:tcW w:w="622" w:type="pct"/>
            <w:tcBorders>
              <w:top w:val="nil"/>
              <w:left w:val="nil"/>
              <w:bottom w:val="single" w:color="auto" w:sz="8" w:space="0"/>
              <w:right w:val="single" w:color="auto" w:sz="8" w:space="0"/>
            </w:tcBorders>
            <w:shd w:val="clear" w:color="auto" w:fill="FFFF99"/>
            <w:tcMar>
              <w:top w:w="0" w:type="dxa"/>
              <w:left w:w="108" w:type="dxa"/>
              <w:bottom w:w="0" w:type="dxa"/>
              <w:right w:w="108" w:type="dxa"/>
            </w:tcMar>
          </w:tcPr>
          <w:p>
            <w:pPr>
              <w:widowControl/>
              <w:spacing w:line="360" w:lineRule="auto"/>
              <w:jc w:val="center"/>
              <w:rPr>
                <w:rFonts w:ascii="宋体" w:hAnsi="宋体" w:cs="宋体"/>
                <w:kern w:val="0"/>
                <w:sz w:val="24"/>
              </w:rPr>
            </w:pPr>
            <w:r>
              <w:rPr>
                <w:rFonts w:hint="eastAsia" w:ascii="宋体" w:hAnsi="宋体" w:cs="宋体"/>
                <w:kern w:val="0"/>
                <w:sz w:val="24"/>
              </w:rPr>
              <w:t>本季度</w:t>
            </w:r>
          </w:p>
          <w:p>
            <w:pPr>
              <w:widowControl/>
              <w:spacing w:line="360" w:lineRule="auto"/>
              <w:jc w:val="center"/>
              <w:rPr>
                <w:rFonts w:ascii="宋体" w:hAnsi="宋体" w:cs="宋体"/>
                <w:kern w:val="0"/>
                <w:sz w:val="24"/>
              </w:rPr>
            </w:pPr>
            <w:r>
              <w:rPr>
                <w:rFonts w:hint="eastAsia" w:ascii="宋体" w:hAnsi="宋体" w:cs="宋体"/>
                <w:kern w:val="0"/>
                <w:sz w:val="24"/>
              </w:rPr>
              <w:t>需求人数（人）</w:t>
            </w:r>
          </w:p>
        </w:tc>
        <w:tc>
          <w:tcPr>
            <w:tcW w:w="725" w:type="pct"/>
            <w:tcBorders>
              <w:top w:val="nil"/>
              <w:left w:val="nil"/>
              <w:bottom w:val="single" w:color="auto" w:sz="8" w:space="0"/>
              <w:right w:val="single" w:color="auto" w:sz="8" w:space="0"/>
            </w:tcBorders>
            <w:shd w:val="clear" w:color="auto" w:fill="FFFF99"/>
            <w:tcMar>
              <w:top w:w="0" w:type="dxa"/>
              <w:left w:w="108" w:type="dxa"/>
              <w:bottom w:w="0" w:type="dxa"/>
              <w:right w:w="108" w:type="dxa"/>
            </w:tcMar>
          </w:tcPr>
          <w:p>
            <w:pPr>
              <w:widowControl/>
              <w:spacing w:line="360" w:lineRule="auto"/>
              <w:jc w:val="center"/>
              <w:rPr>
                <w:rFonts w:ascii="宋体" w:hAnsi="宋体" w:cs="宋体"/>
                <w:kern w:val="0"/>
                <w:sz w:val="24"/>
              </w:rPr>
            </w:pPr>
            <w:r>
              <w:rPr>
                <w:rFonts w:hint="eastAsia" w:ascii="宋体" w:hAnsi="宋体" w:cs="宋体"/>
                <w:kern w:val="0"/>
                <w:sz w:val="24"/>
              </w:rPr>
              <w:t>本季度</w:t>
            </w:r>
          </w:p>
          <w:p>
            <w:pPr>
              <w:widowControl/>
              <w:spacing w:line="360" w:lineRule="auto"/>
              <w:jc w:val="center"/>
              <w:rPr>
                <w:rFonts w:ascii="宋体" w:hAnsi="宋体" w:cs="宋体"/>
                <w:kern w:val="0"/>
                <w:sz w:val="24"/>
              </w:rPr>
            </w:pPr>
            <w:r>
              <w:rPr>
                <w:rFonts w:hint="eastAsia" w:ascii="宋体" w:hAnsi="宋体" w:cs="宋体"/>
                <w:kern w:val="0"/>
                <w:sz w:val="24"/>
              </w:rPr>
              <w:t>需求比重  （%）</w:t>
            </w:r>
          </w:p>
        </w:tc>
        <w:tc>
          <w:tcPr>
            <w:tcW w:w="622" w:type="pct"/>
            <w:tcBorders>
              <w:top w:val="nil"/>
              <w:left w:val="nil"/>
              <w:bottom w:val="single" w:color="auto" w:sz="8" w:space="0"/>
              <w:right w:val="single" w:color="auto" w:sz="8" w:space="0"/>
            </w:tcBorders>
            <w:shd w:val="clear" w:color="auto" w:fill="FFFF99"/>
            <w:tcMar>
              <w:top w:w="0" w:type="dxa"/>
              <w:left w:w="108" w:type="dxa"/>
              <w:bottom w:w="0" w:type="dxa"/>
              <w:right w:w="108" w:type="dxa"/>
            </w:tcMar>
          </w:tcPr>
          <w:p>
            <w:pPr>
              <w:widowControl/>
              <w:spacing w:line="360" w:lineRule="auto"/>
              <w:jc w:val="center"/>
              <w:rPr>
                <w:rFonts w:ascii="宋体" w:hAnsi="宋体" w:cs="宋体"/>
                <w:kern w:val="0"/>
                <w:sz w:val="24"/>
              </w:rPr>
            </w:pPr>
            <w:r>
              <w:rPr>
                <w:rFonts w:hint="eastAsia" w:ascii="宋体" w:hAnsi="宋体" w:cs="宋体"/>
                <w:kern w:val="0"/>
                <w:sz w:val="24"/>
              </w:rPr>
              <w:t>本季度</w:t>
            </w:r>
          </w:p>
          <w:p>
            <w:pPr>
              <w:widowControl/>
              <w:spacing w:line="360" w:lineRule="auto"/>
              <w:jc w:val="center"/>
              <w:rPr>
                <w:rFonts w:ascii="宋体" w:hAnsi="宋体" w:cs="宋体"/>
                <w:kern w:val="0"/>
                <w:sz w:val="24"/>
              </w:rPr>
            </w:pPr>
            <w:r>
              <w:rPr>
                <w:rFonts w:hint="eastAsia" w:ascii="宋体" w:hAnsi="宋体" w:cs="宋体"/>
                <w:kern w:val="0"/>
                <w:sz w:val="24"/>
              </w:rPr>
              <w:t>求职人数  （人）</w:t>
            </w:r>
          </w:p>
        </w:tc>
        <w:tc>
          <w:tcPr>
            <w:tcW w:w="725" w:type="pct"/>
            <w:tcBorders>
              <w:top w:val="nil"/>
              <w:left w:val="nil"/>
              <w:bottom w:val="single" w:color="auto" w:sz="8" w:space="0"/>
              <w:right w:val="single" w:color="auto" w:sz="8" w:space="0"/>
            </w:tcBorders>
            <w:shd w:val="clear" w:color="auto" w:fill="FFFF99"/>
            <w:tcMar>
              <w:top w:w="0" w:type="dxa"/>
              <w:left w:w="108" w:type="dxa"/>
              <w:bottom w:w="0" w:type="dxa"/>
              <w:right w:w="108" w:type="dxa"/>
            </w:tcMar>
          </w:tcPr>
          <w:p>
            <w:pPr>
              <w:widowControl/>
              <w:spacing w:line="360" w:lineRule="auto"/>
              <w:jc w:val="center"/>
              <w:rPr>
                <w:rFonts w:ascii="宋体" w:hAnsi="宋体" w:cs="宋体"/>
                <w:kern w:val="0"/>
                <w:sz w:val="24"/>
              </w:rPr>
            </w:pPr>
            <w:r>
              <w:rPr>
                <w:rFonts w:hint="eastAsia" w:ascii="宋体" w:hAnsi="宋体" w:cs="宋体"/>
                <w:kern w:val="0"/>
                <w:sz w:val="24"/>
              </w:rPr>
              <w:t>本季度</w:t>
            </w:r>
          </w:p>
          <w:p>
            <w:pPr>
              <w:widowControl/>
              <w:spacing w:line="360" w:lineRule="auto"/>
              <w:jc w:val="center"/>
              <w:rPr>
                <w:rFonts w:ascii="宋体" w:hAnsi="宋体" w:cs="宋体"/>
                <w:kern w:val="0"/>
                <w:sz w:val="24"/>
              </w:rPr>
            </w:pPr>
            <w:r>
              <w:rPr>
                <w:rFonts w:hint="eastAsia" w:ascii="宋体" w:hAnsi="宋体" w:cs="宋体"/>
                <w:kern w:val="0"/>
                <w:sz w:val="24"/>
              </w:rPr>
              <w:t>求职比重  （%）</w:t>
            </w:r>
          </w:p>
        </w:tc>
        <w:tc>
          <w:tcPr>
            <w:tcW w:w="797" w:type="pct"/>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line="360" w:lineRule="auto"/>
              <w:jc w:val="center"/>
              <w:rPr>
                <w:rFonts w:ascii="宋体" w:hAnsi="宋体" w:cs="宋体"/>
                <w:kern w:val="0"/>
                <w:sz w:val="24"/>
              </w:rPr>
            </w:pPr>
            <w:r>
              <w:rPr>
                <w:rFonts w:hint="eastAsia" w:ascii="宋体" w:hAnsi="宋体" w:cs="宋体"/>
                <w:kern w:val="0"/>
                <w:sz w:val="24"/>
              </w:rPr>
              <w:t>本季度</w:t>
            </w:r>
          </w:p>
          <w:p>
            <w:pPr>
              <w:widowControl/>
              <w:spacing w:line="360" w:lineRule="auto"/>
              <w:jc w:val="center"/>
              <w:rPr>
                <w:rFonts w:ascii="宋体" w:hAnsi="宋体" w:cs="宋体"/>
                <w:kern w:val="0"/>
                <w:sz w:val="24"/>
              </w:rPr>
            </w:pPr>
            <w:r>
              <w:rPr>
                <w:rFonts w:hint="eastAsia" w:ascii="宋体" w:hAnsi="宋体" w:cs="宋体"/>
                <w:kern w:val="0"/>
                <w:sz w:val="24"/>
              </w:rPr>
              <w:t>求人倍率</w:t>
            </w:r>
          </w:p>
        </w:tc>
      </w:tr>
      <w:tr>
        <w:tblPrEx>
          <w:tblCellMar>
            <w:top w:w="0" w:type="dxa"/>
            <w:left w:w="0" w:type="dxa"/>
            <w:bottom w:w="0" w:type="dxa"/>
            <w:right w:w="0" w:type="dxa"/>
          </w:tblCellMar>
        </w:tblPrEx>
        <w:trPr>
          <w:trHeight w:val="630" w:hRule="atLeast"/>
        </w:trPr>
        <w:tc>
          <w:tcPr>
            <w:tcW w:w="1509"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单位负责人</w:t>
            </w:r>
          </w:p>
        </w:tc>
        <w:tc>
          <w:tcPr>
            <w:tcW w:w="62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163</w:t>
            </w:r>
          </w:p>
        </w:tc>
        <w:tc>
          <w:tcPr>
            <w:tcW w:w="725"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0.33%</w:t>
            </w:r>
          </w:p>
        </w:tc>
        <w:tc>
          <w:tcPr>
            <w:tcW w:w="62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102</w:t>
            </w:r>
          </w:p>
        </w:tc>
        <w:tc>
          <w:tcPr>
            <w:tcW w:w="725"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0.26%</w:t>
            </w:r>
          </w:p>
        </w:tc>
        <w:tc>
          <w:tcPr>
            <w:tcW w:w="797" w:type="pct"/>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rFonts w:ascii="宋体" w:hAnsi="宋体" w:cs="宋体"/>
                <w:sz w:val="24"/>
              </w:rPr>
            </w:pPr>
            <w:r>
              <w:rPr>
                <w:rFonts w:hint="eastAsia"/>
                <w:sz w:val="24"/>
              </w:rPr>
              <w:t xml:space="preserve">1.60 </w:t>
            </w:r>
          </w:p>
        </w:tc>
      </w:tr>
      <w:tr>
        <w:tblPrEx>
          <w:tblCellMar>
            <w:top w:w="0" w:type="dxa"/>
            <w:left w:w="0" w:type="dxa"/>
            <w:bottom w:w="0" w:type="dxa"/>
            <w:right w:w="0" w:type="dxa"/>
          </w:tblCellMar>
        </w:tblPrEx>
        <w:trPr>
          <w:trHeight w:val="630" w:hRule="atLeast"/>
        </w:trPr>
        <w:tc>
          <w:tcPr>
            <w:tcW w:w="1509"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专业技术人员</w:t>
            </w:r>
          </w:p>
        </w:tc>
        <w:tc>
          <w:tcPr>
            <w:tcW w:w="62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4239</w:t>
            </w:r>
          </w:p>
        </w:tc>
        <w:tc>
          <w:tcPr>
            <w:tcW w:w="725"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8.60%</w:t>
            </w:r>
          </w:p>
        </w:tc>
        <w:tc>
          <w:tcPr>
            <w:tcW w:w="62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3735</w:t>
            </w:r>
          </w:p>
        </w:tc>
        <w:tc>
          <w:tcPr>
            <w:tcW w:w="725"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9.61%</w:t>
            </w:r>
          </w:p>
        </w:tc>
        <w:tc>
          <w:tcPr>
            <w:tcW w:w="797" w:type="pct"/>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rFonts w:ascii="宋体" w:hAnsi="宋体" w:cs="宋体"/>
                <w:sz w:val="24"/>
              </w:rPr>
            </w:pPr>
            <w:r>
              <w:rPr>
                <w:rFonts w:hint="eastAsia"/>
                <w:sz w:val="24"/>
              </w:rPr>
              <w:t xml:space="preserve">1.13 </w:t>
            </w:r>
          </w:p>
        </w:tc>
      </w:tr>
      <w:tr>
        <w:tblPrEx>
          <w:tblCellMar>
            <w:top w:w="0" w:type="dxa"/>
            <w:left w:w="0" w:type="dxa"/>
            <w:bottom w:w="0" w:type="dxa"/>
            <w:right w:w="0" w:type="dxa"/>
          </w:tblCellMar>
        </w:tblPrEx>
        <w:trPr>
          <w:trHeight w:val="630" w:hRule="atLeast"/>
        </w:trPr>
        <w:tc>
          <w:tcPr>
            <w:tcW w:w="1509"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办事人员和有关人员</w:t>
            </w:r>
          </w:p>
        </w:tc>
        <w:tc>
          <w:tcPr>
            <w:tcW w:w="62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3152</w:t>
            </w:r>
          </w:p>
        </w:tc>
        <w:tc>
          <w:tcPr>
            <w:tcW w:w="725"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6.40%</w:t>
            </w:r>
          </w:p>
        </w:tc>
        <w:tc>
          <w:tcPr>
            <w:tcW w:w="62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2256</w:t>
            </w:r>
          </w:p>
        </w:tc>
        <w:tc>
          <w:tcPr>
            <w:tcW w:w="725"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5.81%</w:t>
            </w:r>
          </w:p>
        </w:tc>
        <w:tc>
          <w:tcPr>
            <w:tcW w:w="797" w:type="pct"/>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rFonts w:ascii="宋体" w:hAnsi="宋体" w:cs="宋体"/>
                <w:sz w:val="24"/>
              </w:rPr>
            </w:pPr>
            <w:r>
              <w:rPr>
                <w:rFonts w:hint="eastAsia"/>
                <w:sz w:val="24"/>
              </w:rPr>
              <w:t xml:space="preserve">1.40 </w:t>
            </w:r>
          </w:p>
        </w:tc>
      </w:tr>
      <w:tr>
        <w:tblPrEx>
          <w:tblCellMar>
            <w:top w:w="0" w:type="dxa"/>
            <w:left w:w="0" w:type="dxa"/>
            <w:bottom w:w="0" w:type="dxa"/>
            <w:right w:w="0" w:type="dxa"/>
          </w:tblCellMar>
        </w:tblPrEx>
        <w:trPr>
          <w:trHeight w:val="630" w:hRule="atLeast"/>
        </w:trPr>
        <w:tc>
          <w:tcPr>
            <w:tcW w:w="1509"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商业和服务业人员</w:t>
            </w:r>
          </w:p>
        </w:tc>
        <w:tc>
          <w:tcPr>
            <w:tcW w:w="62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6385</w:t>
            </w:r>
          </w:p>
        </w:tc>
        <w:tc>
          <w:tcPr>
            <w:tcW w:w="725"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12.96%</w:t>
            </w:r>
          </w:p>
        </w:tc>
        <w:tc>
          <w:tcPr>
            <w:tcW w:w="62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5007</w:t>
            </w:r>
          </w:p>
        </w:tc>
        <w:tc>
          <w:tcPr>
            <w:tcW w:w="725"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12.89%</w:t>
            </w:r>
          </w:p>
        </w:tc>
        <w:tc>
          <w:tcPr>
            <w:tcW w:w="797" w:type="pct"/>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rFonts w:ascii="宋体" w:hAnsi="宋体" w:cs="宋体"/>
                <w:sz w:val="24"/>
              </w:rPr>
            </w:pPr>
            <w:r>
              <w:rPr>
                <w:rFonts w:hint="eastAsia"/>
                <w:sz w:val="24"/>
              </w:rPr>
              <w:t xml:space="preserve">1.28 </w:t>
            </w:r>
          </w:p>
        </w:tc>
      </w:tr>
      <w:tr>
        <w:tblPrEx>
          <w:tblCellMar>
            <w:top w:w="0" w:type="dxa"/>
            <w:left w:w="0" w:type="dxa"/>
            <w:bottom w:w="0" w:type="dxa"/>
            <w:right w:w="0" w:type="dxa"/>
          </w:tblCellMar>
        </w:tblPrEx>
        <w:trPr>
          <w:trHeight w:val="630" w:hRule="atLeast"/>
        </w:trPr>
        <w:tc>
          <w:tcPr>
            <w:tcW w:w="1509"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农林牧渔水利生产人员</w:t>
            </w:r>
          </w:p>
        </w:tc>
        <w:tc>
          <w:tcPr>
            <w:tcW w:w="62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0</w:t>
            </w:r>
          </w:p>
        </w:tc>
        <w:tc>
          <w:tcPr>
            <w:tcW w:w="725"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0.00%</w:t>
            </w:r>
          </w:p>
        </w:tc>
        <w:tc>
          <w:tcPr>
            <w:tcW w:w="62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0</w:t>
            </w:r>
          </w:p>
        </w:tc>
        <w:tc>
          <w:tcPr>
            <w:tcW w:w="725"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0.00%</w:t>
            </w:r>
          </w:p>
        </w:tc>
        <w:tc>
          <w:tcPr>
            <w:tcW w:w="797" w:type="pct"/>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rFonts w:ascii="宋体" w:hAnsi="宋体" w:cs="宋体"/>
                <w:sz w:val="24"/>
              </w:rPr>
            </w:pPr>
            <w:r>
              <w:rPr>
                <w:rFonts w:hint="eastAsia"/>
                <w:sz w:val="24"/>
              </w:rPr>
              <w:t>——</w:t>
            </w:r>
          </w:p>
        </w:tc>
      </w:tr>
      <w:tr>
        <w:tblPrEx>
          <w:tblCellMar>
            <w:top w:w="0" w:type="dxa"/>
            <w:left w:w="0" w:type="dxa"/>
            <w:bottom w:w="0" w:type="dxa"/>
            <w:right w:w="0" w:type="dxa"/>
          </w:tblCellMar>
        </w:tblPrEx>
        <w:trPr>
          <w:trHeight w:val="630" w:hRule="atLeast"/>
        </w:trPr>
        <w:tc>
          <w:tcPr>
            <w:tcW w:w="1509"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生产运输设备操作工</w:t>
            </w:r>
          </w:p>
        </w:tc>
        <w:tc>
          <w:tcPr>
            <w:tcW w:w="62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33361</w:t>
            </w:r>
          </w:p>
        </w:tc>
        <w:tc>
          <w:tcPr>
            <w:tcW w:w="725"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67.70%</w:t>
            </w:r>
          </w:p>
        </w:tc>
        <w:tc>
          <w:tcPr>
            <w:tcW w:w="62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26156</w:t>
            </w:r>
          </w:p>
        </w:tc>
        <w:tc>
          <w:tcPr>
            <w:tcW w:w="725"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67.33%</w:t>
            </w:r>
          </w:p>
        </w:tc>
        <w:tc>
          <w:tcPr>
            <w:tcW w:w="797" w:type="pct"/>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rFonts w:ascii="宋体" w:hAnsi="宋体" w:cs="宋体"/>
                <w:sz w:val="24"/>
              </w:rPr>
            </w:pPr>
            <w:r>
              <w:rPr>
                <w:rFonts w:hint="eastAsia"/>
                <w:sz w:val="24"/>
              </w:rPr>
              <w:t xml:space="preserve">1.28 </w:t>
            </w:r>
          </w:p>
        </w:tc>
      </w:tr>
      <w:tr>
        <w:tblPrEx>
          <w:tblCellMar>
            <w:top w:w="0" w:type="dxa"/>
            <w:left w:w="0" w:type="dxa"/>
            <w:bottom w:w="0" w:type="dxa"/>
            <w:right w:w="0" w:type="dxa"/>
          </w:tblCellMar>
        </w:tblPrEx>
        <w:trPr>
          <w:trHeight w:val="630" w:hRule="atLeast"/>
        </w:trPr>
        <w:tc>
          <w:tcPr>
            <w:tcW w:w="1509"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其他</w:t>
            </w:r>
          </w:p>
        </w:tc>
        <w:tc>
          <w:tcPr>
            <w:tcW w:w="62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2577</w:t>
            </w:r>
          </w:p>
        </w:tc>
        <w:tc>
          <w:tcPr>
            <w:tcW w:w="725"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5.23%</w:t>
            </w:r>
          </w:p>
        </w:tc>
        <w:tc>
          <w:tcPr>
            <w:tcW w:w="62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2207</w:t>
            </w:r>
          </w:p>
        </w:tc>
        <w:tc>
          <w:tcPr>
            <w:tcW w:w="725"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5.68%</w:t>
            </w:r>
          </w:p>
        </w:tc>
        <w:tc>
          <w:tcPr>
            <w:tcW w:w="797" w:type="pct"/>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rFonts w:ascii="宋体" w:hAnsi="宋体" w:cs="宋体"/>
                <w:sz w:val="24"/>
              </w:rPr>
            </w:pPr>
            <w:r>
              <w:rPr>
                <w:rFonts w:hint="eastAsia"/>
                <w:sz w:val="24"/>
              </w:rPr>
              <w:t xml:space="preserve">1.17 </w:t>
            </w:r>
          </w:p>
        </w:tc>
      </w:tr>
      <w:tr>
        <w:tblPrEx>
          <w:tblCellMar>
            <w:top w:w="0" w:type="dxa"/>
            <w:left w:w="0" w:type="dxa"/>
            <w:bottom w:w="0" w:type="dxa"/>
            <w:right w:w="0" w:type="dxa"/>
          </w:tblCellMar>
        </w:tblPrEx>
        <w:trPr>
          <w:trHeight w:val="630" w:hRule="atLeast"/>
        </w:trPr>
        <w:tc>
          <w:tcPr>
            <w:tcW w:w="1509"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无要求</w:t>
            </w:r>
          </w:p>
        </w:tc>
        <w:tc>
          <w:tcPr>
            <w:tcW w:w="62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0</w:t>
            </w:r>
          </w:p>
        </w:tc>
        <w:tc>
          <w:tcPr>
            <w:tcW w:w="725"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0.00%</w:t>
            </w:r>
          </w:p>
        </w:tc>
        <w:tc>
          <w:tcPr>
            <w:tcW w:w="62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0</w:t>
            </w:r>
          </w:p>
        </w:tc>
        <w:tc>
          <w:tcPr>
            <w:tcW w:w="725"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0.00%</w:t>
            </w:r>
          </w:p>
        </w:tc>
        <w:tc>
          <w:tcPr>
            <w:tcW w:w="797" w:type="pct"/>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rFonts w:ascii="宋体" w:hAnsi="宋体" w:cs="宋体"/>
                <w:sz w:val="24"/>
              </w:rPr>
            </w:pPr>
            <w:r>
              <w:rPr>
                <w:rFonts w:hint="eastAsia"/>
                <w:sz w:val="24"/>
              </w:rPr>
              <w:t>——</w:t>
            </w:r>
          </w:p>
        </w:tc>
      </w:tr>
      <w:tr>
        <w:tblPrEx>
          <w:tblCellMar>
            <w:top w:w="0" w:type="dxa"/>
            <w:left w:w="0" w:type="dxa"/>
            <w:bottom w:w="0" w:type="dxa"/>
            <w:right w:w="0" w:type="dxa"/>
          </w:tblCellMar>
        </w:tblPrEx>
        <w:trPr>
          <w:trHeight w:val="630" w:hRule="atLeast"/>
        </w:trPr>
        <w:tc>
          <w:tcPr>
            <w:tcW w:w="1509"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合计</w:t>
            </w:r>
          </w:p>
        </w:tc>
        <w:tc>
          <w:tcPr>
            <w:tcW w:w="62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49877</w:t>
            </w:r>
          </w:p>
        </w:tc>
        <w:tc>
          <w:tcPr>
            <w:tcW w:w="725"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101.22%</w:t>
            </w:r>
          </w:p>
        </w:tc>
        <w:tc>
          <w:tcPr>
            <w:tcW w:w="62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39463</w:t>
            </w:r>
          </w:p>
        </w:tc>
        <w:tc>
          <w:tcPr>
            <w:tcW w:w="725"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101.59%</w:t>
            </w:r>
          </w:p>
        </w:tc>
        <w:tc>
          <w:tcPr>
            <w:tcW w:w="797" w:type="pct"/>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rFonts w:ascii="宋体" w:hAnsi="宋体" w:cs="宋体"/>
                <w:sz w:val="24"/>
              </w:rPr>
            </w:pPr>
            <w:r>
              <w:rPr>
                <w:rFonts w:hint="eastAsia"/>
                <w:sz w:val="24"/>
              </w:rPr>
              <w:t xml:space="preserve">1.26 </w:t>
            </w:r>
          </w:p>
        </w:tc>
      </w:tr>
    </w:tbl>
    <w:p>
      <w:pPr>
        <w:adjustRightInd w:val="0"/>
        <w:snapToGrid w:val="0"/>
        <w:spacing w:line="360" w:lineRule="auto"/>
        <w:jc w:val="center"/>
        <w:rPr>
          <w:rFonts w:ascii="宋体" w:hAnsi="宋体"/>
          <w:color w:val="FF0000"/>
          <w:sz w:val="24"/>
        </w:rPr>
      </w:pPr>
    </w:p>
    <w:tbl>
      <w:tblPr>
        <w:tblStyle w:val="6"/>
        <w:tblW w:w="9673" w:type="dxa"/>
        <w:tblInd w:w="93" w:type="dxa"/>
        <w:tblLayout w:type="autofit"/>
        <w:tblCellMar>
          <w:top w:w="0" w:type="dxa"/>
          <w:left w:w="108" w:type="dxa"/>
          <w:bottom w:w="0" w:type="dxa"/>
          <w:right w:w="108" w:type="dxa"/>
        </w:tblCellMar>
      </w:tblPr>
      <w:tblGrid>
        <w:gridCol w:w="9673"/>
      </w:tblGrid>
      <w:tr>
        <w:tblPrEx>
          <w:tblCellMar>
            <w:top w:w="0" w:type="dxa"/>
            <w:left w:w="108" w:type="dxa"/>
            <w:bottom w:w="0" w:type="dxa"/>
            <w:right w:w="108" w:type="dxa"/>
          </w:tblCellMar>
        </w:tblPrEx>
        <w:trPr>
          <w:trHeight w:val="855" w:hRule="atLeast"/>
        </w:trPr>
        <w:tc>
          <w:tcPr>
            <w:tcW w:w="9673" w:type="dxa"/>
            <w:tcBorders>
              <w:top w:val="nil"/>
              <w:left w:val="nil"/>
              <w:bottom w:val="nil"/>
              <w:right w:val="nil"/>
            </w:tcBorders>
            <w:shd w:val="clear" w:color="auto" w:fill="auto"/>
            <w:vAlign w:val="center"/>
          </w:tcPr>
          <w:p>
            <w:pPr>
              <w:widowControl/>
              <w:spacing w:line="360" w:lineRule="auto"/>
              <w:ind w:right="252" w:rightChars="120"/>
              <w:jc w:val="center"/>
              <w:rPr>
                <w:rFonts w:ascii="宋体" w:hAnsi="宋体"/>
                <w:sz w:val="24"/>
              </w:rPr>
            </w:pPr>
            <w:r>
              <w:rPr>
                <w:rFonts w:hint="eastAsia" w:ascii="宋体" w:hAnsi="宋体"/>
                <w:sz w:val="24"/>
              </w:rPr>
              <w:t>表6 需求大于求职缺口最大的前十个职业</w:t>
            </w:r>
          </w:p>
          <w:p>
            <w:pPr>
              <w:widowControl/>
              <w:spacing w:line="360" w:lineRule="auto"/>
              <w:ind w:right="252" w:rightChars="120"/>
              <w:jc w:val="center"/>
              <w:rPr>
                <w:rFonts w:ascii="宋体" w:hAnsi="宋体"/>
                <w:color w:val="FF0000"/>
                <w:sz w:val="24"/>
              </w:rPr>
            </w:pPr>
          </w:p>
          <w:tbl>
            <w:tblPr>
              <w:tblStyle w:val="6"/>
              <w:tblW w:w="8888" w:type="dxa"/>
              <w:tblInd w:w="0" w:type="dxa"/>
              <w:shd w:val="clear" w:color="auto" w:fill="DAEEF3" w:themeFill="accent5" w:themeFillTint="33"/>
              <w:tblLayout w:type="autofit"/>
              <w:tblCellMar>
                <w:top w:w="0" w:type="dxa"/>
                <w:left w:w="108" w:type="dxa"/>
                <w:bottom w:w="0" w:type="dxa"/>
                <w:right w:w="108" w:type="dxa"/>
              </w:tblCellMar>
            </w:tblPr>
            <w:tblGrid>
              <w:gridCol w:w="458"/>
              <w:gridCol w:w="1872"/>
              <w:gridCol w:w="1494"/>
              <w:gridCol w:w="1519"/>
              <w:gridCol w:w="1350"/>
              <w:gridCol w:w="1012"/>
              <w:gridCol w:w="1183"/>
            </w:tblGrid>
            <w:tr>
              <w:tblPrEx>
                <w:shd w:val="clear" w:color="auto" w:fill="DAEEF3" w:themeFill="accent5" w:themeFillTint="33"/>
                <w:tblCellMar>
                  <w:top w:w="0" w:type="dxa"/>
                  <w:left w:w="108" w:type="dxa"/>
                  <w:bottom w:w="0" w:type="dxa"/>
                  <w:right w:w="108" w:type="dxa"/>
                </w:tblCellMar>
              </w:tblPrEx>
              <w:trPr>
                <w:trHeight w:val="447" w:hRule="atLeast"/>
              </w:trPr>
              <w:tc>
                <w:tcPr>
                  <w:tcW w:w="2330" w:type="dxa"/>
                  <w:gridSpan w:val="2"/>
                  <w:vMerge w:val="restart"/>
                  <w:tcBorders>
                    <w:top w:val="single" w:color="auto" w:sz="4" w:space="0"/>
                    <w:left w:val="single" w:color="auto" w:sz="4" w:space="0"/>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职业</w:t>
                  </w:r>
                </w:p>
              </w:tc>
              <w:tc>
                <w:tcPr>
                  <w:tcW w:w="1494" w:type="dxa"/>
                  <w:vMerge w:val="restart"/>
                  <w:tcBorders>
                    <w:top w:val="single" w:color="auto" w:sz="4" w:space="0"/>
                    <w:left w:val="single" w:color="auto" w:sz="4" w:space="0"/>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职业代码</w:t>
                  </w:r>
                </w:p>
              </w:tc>
              <w:tc>
                <w:tcPr>
                  <w:tcW w:w="5064" w:type="dxa"/>
                  <w:gridSpan w:val="4"/>
                  <w:tcBorders>
                    <w:top w:val="single" w:color="auto" w:sz="4" w:space="0"/>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劳动力供求人数比较</w:t>
                  </w:r>
                </w:p>
              </w:tc>
            </w:tr>
            <w:tr>
              <w:tblPrEx>
                <w:shd w:val="clear" w:color="auto" w:fill="DAEEF3" w:themeFill="accent5" w:themeFillTint="33"/>
                <w:tblCellMar>
                  <w:top w:w="0" w:type="dxa"/>
                  <w:left w:w="108" w:type="dxa"/>
                  <w:bottom w:w="0" w:type="dxa"/>
                  <w:right w:w="108" w:type="dxa"/>
                </w:tblCellMar>
              </w:tblPrEx>
              <w:trPr>
                <w:trHeight w:val="447" w:hRule="atLeast"/>
              </w:trPr>
              <w:tc>
                <w:tcPr>
                  <w:tcW w:w="2330" w:type="dxa"/>
                  <w:gridSpan w:val="2"/>
                  <w:vMerge w:val="continue"/>
                  <w:tcBorders>
                    <w:top w:val="single" w:color="auto" w:sz="4" w:space="0"/>
                    <w:left w:val="single" w:color="auto" w:sz="4" w:space="0"/>
                    <w:bottom w:val="single" w:color="auto" w:sz="4" w:space="0"/>
                    <w:right w:val="single" w:color="auto" w:sz="4" w:space="0"/>
                  </w:tcBorders>
                  <w:shd w:val="clear" w:color="auto" w:fill="92CDDC" w:themeFill="accent5" w:themeFillTint="99"/>
                  <w:vAlign w:val="center"/>
                </w:tcPr>
                <w:p>
                  <w:pPr>
                    <w:widowControl/>
                    <w:spacing w:line="360" w:lineRule="auto"/>
                    <w:jc w:val="left"/>
                    <w:rPr>
                      <w:rFonts w:ascii="宋体" w:hAnsi="宋体" w:cs="宋体"/>
                      <w:b/>
                      <w:bCs/>
                      <w:kern w:val="0"/>
                      <w:sz w:val="24"/>
                    </w:rPr>
                  </w:pPr>
                </w:p>
              </w:tc>
              <w:tc>
                <w:tcPr>
                  <w:tcW w:w="1494" w:type="dxa"/>
                  <w:vMerge w:val="continue"/>
                  <w:tcBorders>
                    <w:top w:val="single" w:color="auto" w:sz="4" w:space="0"/>
                    <w:left w:val="single" w:color="auto" w:sz="4" w:space="0"/>
                    <w:bottom w:val="single" w:color="auto" w:sz="4" w:space="0"/>
                    <w:right w:val="single" w:color="auto" w:sz="4" w:space="0"/>
                  </w:tcBorders>
                  <w:shd w:val="clear" w:color="auto" w:fill="92CDDC" w:themeFill="accent5" w:themeFillTint="99"/>
                  <w:vAlign w:val="center"/>
                </w:tcPr>
                <w:p>
                  <w:pPr>
                    <w:widowControl/>
                    <w:spacing w:line="360" w:lineRule="auto"/>
                    <w:jc w:val="left"/>
                    <w:rPr>
                      <w:rFonts w:ascii="宋体" w:hAnsi="宋体" w:cs="宋体"/>
                      <w:b/>
                      <w:bCs/>
                      <w:kern w:val="0"/>
                      <w:sz w:val="24"/>
                    </w:rPr>
                  </w:pPr>
                </w:p>
              </w:tc>
              <w:tc>
                <w:tcPr>
                  <w:tcW w:w="1519" w:type="dxa"/>
                  <w:tcBorders>
                    <w:top w:val="nil"/>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需求人数</w:t>
                  </w:r>
                </w:p>
              </w:tc>
              <w:tc>
                <w:tcPr>
                  <w:tcW w:w="1350" w:type="dxa"/>
                  <w:tcBorders>
                    <w:top w:val="nil"/>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求职人数</w:t>
                  </w:r>
                </w:p>
              </w:tc>
              <w:tc>
                <w:tcPr>
                  <w:tcW w:w="1012" w:type="dxa"/>
                  <w:tcBorders>
                    <w:top w:val="nil"/>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缺口数</w:t>
                  </w:r>
                </w:p>
              </w:tc>
              <w:tc>
                <w:tcPr>
                  <w:tcW w:w="1183" w:type="dxa"/>
                  <w:tcBorders>
                    <w:top w:val="nil"/>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求人倍率</w:t>
                  </w:r>
                </w:p>
              </w:tc>
            </w:tr>
            <w:tr>
              <w:tblPrEx>
                <w:shd w:val="clear" w:color="auto" w:fill="DAEEF3" w:themeFill="accent5" w:themeFillTint="33"/>
                <w:tblCellMar>
                  <w:top w:w="0" w:type="dxa"/>
                  <w:left w:w="108" w:type="dxa"/>
                  <w:bottom w:w="0" w:type="dxa"/>
                  <w:right w:w="108" w:type="dxa"/>
                </w:tblCellMar>
              </w:tblPrEx>
              <w:trPr>
                <w:trHeight w:val="447"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1</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纺纱人员</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6-04-02-01</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723</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541</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182</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 xml:space="preserve">1.34 </w:t>
                  </w:r>
                </w:p>
              </w:tc>
            </w:tr>
            <w:tr>
              <w:tblPrEx>
                <w:shd w:val="clear" w:color="auto" w:fill="DAEEF3" w:themeFill="accent5" w:themeFillTint="33"/>
                <w:tblCellMar>
                  <w:top w:w="0" w:type="dxa"/>
                  <w:left w:w="108" w:type="dxa"/>
                  <w:bottom w:w="0" w:type="dxa"/>
                  <w:right w:w="108" w:type="dxa"/>
                </w:tblCellMar>
              </w:tblPrEx>
              <w:trPr>
                <w:trHeight w:val="447"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2</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缝纫工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6-05-01-03</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652</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493</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159</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 xml:space="preserve">1.32 </w:t>
                  </w:r>
                </w:p>
              </w:tc>
            </w:tr>
            <w:tr>
              <w:tblPrEx>
                <w:shd w:val="clear" w:color="auto" w:fill="DAEEF3" w:themeFill="accent5" w:themeFillTint="33"/>
                <w:tblCellMar>
                  <w:top w:w="0" w:type="dxa"/>
                  <w:left w:w="108" w:type="dxa"/>
                  <w:bottom w:w="0" w:type="dxa"/>
                  <w:right w:w="108" w:type="dxa"/>
                </w:tblCellMar>
              </w:tblPrEx>
              <w:trPr>
                <w:trHeight w:val="447"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3</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电工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6-31-01-03</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470</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350</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120</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 xml:space="preserve">1.34 </w:t>
                  </w:r>
                </w:p>
              </w:tc>
            </w:tr>
            <w:tr>
              <w:tblPrEx>
                <w:shd w:val="clear" w:color="auto" w:fill="DAEEF3" w:themeFill="accent5" w:themeFillTint="33"/>
                <w:tblCellMar>
                  <w:top w:w="0" w:type="dxa"/>
                  <w:left w:w="108" w:type="dxa"/>
                  <w:bottom w:w="0" w:type="dxa"/>
                  <w:right w:w="108" w:type="dxa"/>
                </w:tblCellMar>
              </w:tblPrEx>
              <w:trPr>
                <w:trHeight w:val="447"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4</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焊工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6-18-02-04</w:t>
                  </w:r>
                </w:p>
              </w:tc>
              <w:tc>
                <w:tcPr>
                  <w:tcW w:w="1519" w:type="dxa"/>
                  <w:tcBorders>
                    <w:top w:val="nil"/>
                    <w:left w:val="nil"/>
                    <w:bottom w:val="nil"/>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406</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303</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103</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 xml:space="preserve">1.34 </w:t>
                  </w:r>
                </w:p>
              </w:tc>
            </w:tr>
            <w:tr>
              <w:tblPrEx>
                <w:shd w:val="clear" w:color="auto" w:fill="DAEEF3" w:themeFill="accent5" w:themeFillTint="33"/>
                <w:tblCellMar>
                  <w:top w:w="0" w:type="dxa"/>
                  <w:left w:w="108" w:type="dxa"/>
                  <w:bottom w:w="0" w:type="dxa"/>
                  <w:right w:w="108" w:type="dxa"/>
                </w:tblCellMar>
              </w:tblPrEx>
              <w:trPr>
                <w:trHeight w:val="447"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5</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包装工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6-31-05-00</w:t>
                  </w:r>
                </w:p>
              </w:tc>
              <w:tc>
                <w:tcPr>
                  <w:tcW w:w="1519" w:type="dxa"/>
                  <w:tcBorders>
                    <w:top w:val="single" w:color="auto" w:sz="4" w:space="0"/>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368</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279</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89</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 xml:space="preserve">1.32 </w:t>
                  </w:r>
                </w:p>
              </w:tc>
            </w:tr>
            <w:tr>
              <w:tblPrEx>
                <w:shd w:val="clear" w:color="auto" w:fill="DAEEF3" w:themeFill="accent5" w:themeFillTint="33"/>
                <w:tblCellMar>
                  <w:top w:w="0" w:type="dxa"/>
                  <w:left w:w="108" w:type="dxa"/>
                  <w:bottom w:w="0" w:type="dxa"/>
                  <w:right w:w="108" w:type="dxa"/>
                </w:tblCellMar>
              </w:tblPrEx>
              <w:trPr>
                <w:trHeight w:val="447"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6</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质检员</w:t>
                  </w:r>
                </w:p>
              </w:tc>
              <w:tc>
                <w:tcPr>
                  <w:tcW w:w="1494" w:type="dxa"/>
                  <w:tcBorders>
                    <w:top w:val="nil"/>
                    <w:left w:val="nil"/>
                    <w:bottom w:val="nil"/>
                    <w:right w:val="nil"/>
                  </w:tcBorders>
                  <w:shd w:val="clear" w:color="auto" w:fill="DAEEF3" w:themeFill="accent5" w:themeFillTint="33"/>
                  <w:noWrap/>
                  <w:vAlign w:val="center"/>
                </w:tcPr>
                <w:p>
                  <w:pPr>
                    <w:jc w:val="center"/>
                    <w:rPr>
                      <w:rFonts w:ascii="宋体" w:hAnsi="宋体" w:cs="宋体"/>
                      <w:sz w:val="24"/>
                    </w:rPr>
                  </w:pPr>
                  <w:r>
                    <w:rPr>
                      <w:rFonts w:hint="eastAsia"/>
                      <w:sz w:val="24"/>
                    </w:rPr>
                    <w:t>6-31-03-05</w:t>
                  </w:r>
                </w:p>
              </w:tc>
              <w:tc>
                <w:tcPr>
                  <w:tcW w:w="1519" w:type="dxa"/>
                  <w:tcBorders>
                    <w:top w:val="nil"/>
                    <w:left w:val="single" w:color="auto" w:sz="4" w:space="0"/>
                    <w:bottom w:val="nil"/>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346</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268</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78</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 xml:space="preserve">1.29 </w:t>
                  </w:r>
                </w:p>
              </w:tc>
            </w:tr>
            <w:tr>
              <w:tblPrEx>
                <w:shd w:val="clear" w:color="auto" w:fill="DAEEF3" w:themeFill="accent5" w:themeFillTint="33"/>
                <w:tblCellMar>
                  <w:top w:w="0" w:type="dxa"/>
                  <w:left w:w="108" w:type="dxa"/>
                  <w:bottom w:w="0" w:type="dxa"/>
                  <w:right w:w="108" w:type="dxa"/>
                </w:tblCellMar>
              </w:tblPrEx>
              <w:trPr>
                <w:trHeight w:val="447"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7</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机修钳工</w:t>
                  </w:r>
                </w:p>
              </w:tc>
              <w:tc>
                <w:tcPr>
                  <w:tcW w:w="1494" w:type="dxa"/>
                  <w:tcBorders>
                    <w:top w:val="single" w:color="auto" w:sz="4" w:space="0"/>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6-31-01-02</w:t>
                  </w:r>
                </w:p>
              </w:tc>
              <w:tc>
                <w:tcPr>
                  <w:tcW w:w="1519" w:type="dxa"/>
                  <w:tcBorders>
                    <w:top w:val="single" w:color="auto" w:sz="4" w:space="0"/>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331</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259</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72</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 xml:space="preserve">1.28 </w:t>
                  </w:r>
                </w:p>
              </w:tc>
            </w:tr>
            <w:tr>
              <w:tblPrEx>
                <w:tblCellMar>
                  <w:top w:w="0" w:type="dxa"/>
                  <w:left w:w="108" w:type="dxa"/>
                  <w:bottom w:w="0" w:type="dxa"/>
                  <w:right w:w="108" w:type="dxa"/>
                </w:tblCellMar>
              </w:tblPrEx>
              <w:trPr>
                <w:trHeight w:val="447"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8</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起重装卸机械操作工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6-30-05-01</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326</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257</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69</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 xml:space="preserve">1.27 </w:t>
                  </w:r>
                </w:p>
              </w:tc>
            </w:tr>
            <w:tr>
              <w:tblPrEx>
                <w:tblCellMar>
                  <w:top w:w="0" w:type="dxa"/>
                  <w:left w:w="108" w:type="dxa"/>
                  <w:bottom w:w="0" w:type="dxa"/>
                  <w:right w:w="108" w:type="dxa"/>
                </w:tblCellMar>
              </w:tblPrEx>
              <w:trPr>
                <w:trHeight w:val="447"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9</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仓储管理员</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4-02-06-01</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321</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251</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70</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 xml:space="preserve">1.28 </w:t>
                  </w:r>
                </w:p>
              </w:tc>
            </w:tr>
            <w:tr>
              <w:tblPrEx>
                <w:tblCellMar>
                  <w:top w:w="0" w:type="dxa"/>
                  <w:left w:w="108" w:type="dxa"/>
                  <w:bottom w:w="0" w:type="dxa"/>
                  <w:right w:w="108" w:type="dxa"/>
                </w:tblCellMar>
              </w:tblPrEx>
              <w:trPr>
                <w:trHeight w:val="457"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10</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车工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6-18-01-01</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228</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177</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51</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 xml:space="preserve">1.29 </w:t>
                  </w:r>
                </w:p>
              </w:tc>
            </w:tr>
          </w:tbl>
          <w:p>
            <w:pPr>
              <w:widowControl/>
              <w:spacing w:line="360" w:lineRule="auto"/>
              <w:ind w:right="252" w:rightChars="120"/>
              <w:jc w:val="center"/>
              <w:rPr>
                <w:rFonts w:ascii="宋体" w:hAnsi="宋体" w:cs="宋体"/>
                <w:b/>
                <w:bCs/>
                <w:color w:val="FF0000"/>
                <w:kern w:val="0"/>
                <w:sz w:val="24"/>
              </w:rPr>
            </w:pPr>
          </w:p>
        </w:tc>
      </w:tr>
    </w:tbl>
    <w:p>
      <w:pPr>
        <w:widowControl/>
        <w:spacing w:before="100" w:beforeAutospacing="1" w:after="100" w:afterAutospacing="1" w:line="360" w:lineRule="auto"/>
        <w:ind w:firstLine="480" w:firstLineChars="200"/>
        <w:jc w:val="left"/>
        <w:rPr>
          <w:rFonts w:ascii="宋体" w:hAnsi="宋体" w:cs="宋体"/>
          <w:kern w:val="0"/>
          <w:sz w:val="24"/>
        </w:rPr>
      </w:pPr>
    </w:p>
    <w:p>
      <w:pPr>
        <w:adjustRightInd w:val="0"/>
        <w:snapToGrid w:val="0"/>
        <w:spacing w:line="360" w:lineRule="auto"/>
        <w:jc w:val="center"/>
        <w:rPr>
          <w:rFonts w:ascii="宋体" w:hAnsi="宋体"/>
          <w:sz w:val="24"/>
        </w:rPr>
      </w:pPr>
      <w:r>
        <w:rPr>
          <w:rFonts w:hint="eastAsia" w:ascii="宋体" w:hAnsi="宋体"/>
          <w:sz w:val="24"/>
        </w:rPr>
        <w:t>表</w:t>
      </w:r>
      <w:r>
        <w:rPr>
          <w:rFonts w:ascii="宋体" w:hAnsi="宋体"/>
          <w:sz w:val="24"/>
        </w:rPr>
        <w:t>7</w:t>
      </w:r>
      <w:r>
        <w:rPr>
          <w:rFonts w:hint="eastAsia" w:ascii="宋体" w:hAnsi="宋体"/>
          <w:sz w:val="24"/>
        </w:rPr>
        <w:t>：需求小于求职缺口最大的十个职业</w:t>
      </w:r>
    </w:p>
    <w:tbl>
      <w:tblPr>
        <w:tblStyle w:val="6"/>
        <w:tblW w:w="9555" w:type="dxa"/>
        <w:tblInd w:w="93" w:type="dxa"/>
        <w:shd w:val="clear" w:color="auto" w:fill="DAEEF3" w:themeFill="accent5" w:themeFillTint="33"/>
        <w:tblLayout w:type="autofit"/>
        <w:tblCellMar>
          <w:top w:w="0" w:type="dxa"/>
          <w:left w:w="108" w:type="dxa"/>
          <w:bottom w:w="0" w:type="dxa"/>
          <w:right w:w="108" w:type="dxa"/>
        </w:tblCellMar>
      </w:tblPr>
      <w:tblGrid>
        <w:gridCol w:w="458"/>
        <w:gridCol w:w="2199"/>
        <w:gridCol w:w="1487"/>
        <w:gridCol w:w="1487"/>
        <w:gridCol w:w="1487"/>
        <w:gridCol w:w="1126"/>
        <w:gridCol w:w="1311"/>
      </w:tblGrid>
      <w:tr>
        <w:tblPrEx>
          <w:shd w:val="clear" w:color="auto" w:fill="DAEEF3" w:themeFill="accent5" w:themeFillTint="33"/>
          <w:tblCellMar>
            <w:top w:w="0" w:type="dxa"/>
            <w:left w:w="108" w:type="dxa"/>
            <w:bottom w:w="0" w:type="dxa"/>
            <w:right w:w="108" w:type="dxa"/>
          </w:tblCellMar>
        </w:tblPrEx>
        <w:trPr>
          <w:trHeight w:val="402" w:hRule="atLeast"/>
        </w:trPr>
        <w:tc>
          <w:tcPr>
            <w:tcW w:w="2657" w:type="dxa"/>
            <w:gridSpan w:val="2"/>
            <w:vMerge w:val="restart"/>
            <w:tcBorders>
              <w:top w:val="single" w:color="auto" w:sz="4" w:space="0"/>
              <w:left w:val="single" w:color="auto" w:sz="4" w:space="0"/>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职业</w:t>
            </w:r>
          </w:p>
        </w:tc>
        <w:tc>
          <w:tcPr>
            <w:tcW w:w="1487" w:type="dxa"/>
            <w:vMerge w:val="restart"/>
            <w:tcBorders>
              <w:top w:val="single" w:color="auto" w:sz="4" w:space="0"/>
              <w:left w:val="single" w:color="auto" w:sz="4" w:space="0"/>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职业代码</w:t>
            </w:r>
          </w:p>
        </w:tc>
        <w:tc>
          <w:tcPr>
            <w:tcW w:w="5411" w:type="dxa"/>
            <w:gridSpan w:val="4"/>
            <w:tcBorders>
              <w:top w:val="single" w:color="auto" w:sz="4" w:space="0"/>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劳动力供求人数比较</w:t>
            </w:r>
          </w:p>
        </w:tc>
      </w:tr>
      <w:tr>
        <w:tblPrEx>
          <w:shd w:val="clear" w:color="auto" w:fill="DAEEF3" w:themeFill="accent5" w:themeFillTint="33"/>
          <w:tblCellMar>
            <w:top w:w="0" w:type="dxa"/>
            <w:left w:w="108" w:type="dxa"/>
            <w:bottom w:w="0" w:type="dxa"/>
            <w:right w:w="108" w:type="dxa"/>
          </w:tblCellMar>
        </w:tblPrEx>
        <w:trPr>
          <w:trHeight w:val="390" w:hRule="atLeast"/>
        </w:trPr>
        <w:tc>
          <w:tcPr>
            <w:tcW w:w="2657" w:type="dxa"/>
            <w:gridSpan w:val="2"/>
            <w:vMerge w:val="continue"/>
            <w:tcBorders>
              <w:top w:val="single" w:color="auto" w:sz="4" w:space="0"/>
              <w:left w:val="single" w:color="auto" w:sz="4" w:space="0"/>
              <w:bottom w:val="single" w:color="auto" w:sz="4" w:space="0"/>
              <w:right w:val="single" w:color="auto" w:sz="4" w:space="0"/>
            </w:tcBorders>
            <w:shd w:val="clear" w:color="auto" w:fill="92CDDC" w:themeFill="accent5" w:themeFillTint="99"/>
            <w:vAlign w:val="center"/>
          </w:tcPr>
          <w:p>
            <w:pPr>
              <w:widowControl/>
              <w:spacing w:line="360" w:lineRule="auto"/>
              <w:jc w:val="left"/>
              <w:rPr>
                <w:rFonts w:ascii="宋体" w:hAnsi="宋体" w:cs="宋体"/>
                <w:b/>
                <w:bCs/>
                <w:kern w:val="0"/>
                <w:sz w:val="24"/>
              </w:rPr>
            </w:pPr>
          </w:p>
        </w:tc>
        <w:tc>
          <w:tcPr>
            <w:tcW w:w="1487" w:type="dxa"/>
            <w:vMerge w:val="continue"/>
            <w:tcBorders>
              <w:top w:val="single" w:color="auto" w:sz="4" w:space="0"/>
              <w:left w:val="single" w:color="auto" w:sz="4" w:space="0"/>
              <w:bottom w:val="single" w:color="auto" w:sz="4" w:space="0"/>
              <w:right w:val="single" w:color="auto" w:sz="4" w:space="0"/>
            </w:tcBorders>
            <w:shd w:val="clear" w:color="auto" w:fill="92CDDC" w:themeFill="accent5" w:themeFillTint="99"/>
            <w:vAlign w:val="center"/>
          </w:tcPr>
          <w:p>
            <w:pPr>
              <w:widowControl/>
              <w:spacing w:line="360" w:lineRule="auto"/>
              <w:jc w:val="left"/>
              <w:rPr>
                <w:rFonts w:ascii="宋体" w:hAnsi="宋体" w:cs="宋体"/>
                <w:b/>
                <w:bCs/>
                <w:kern w:val="0"/>
                <w:sz w:val="24"/>
              </w:rPr>
            </w:pPr>
          </w:p>
        </w:tc>
        <w:tc>
          <w:tcPr>
            <w:tcW w:w="1487" w:type="dxa"/>
            <w:tcBorders>
              <w:top w:val="nil"/>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需求人数</w:t>
            </w:r>
          </w:p>
        </w:tc>
        <w:tc>
          <w:tcPr>
            <w:tcW w:w="1487" w:type="dxa"/>
            <w:tcBorders>
              <w:top w:val="nil"/>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求职人数</w:t>
            </w:r>
          </w:p>
        </w:tc>
        <w:tc>
          <w:tcPr>
            <w:tcW w:w="1126" w:type="dxa"/>
            <w:tcBorders>
              <w:top w:val="nil"/>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缺口数</w:t>
            </w:r>
          </w:p>
        </w:tc>
        <w:tc>
          <w:tcPr>
            <w:tcW w:w="1311" w:type="dxa"/>
            <w:tcBorders>
              <w:top w:val="nil"/>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求人倍率</w:t>
            </w:r>
          </w:p>
        </w:tc>
      </w:tr>
      <w:tr>
        <w:tblPrEx>
          <w:shd w:val="clear" w:color="auto" w:fill="DAEEF3" w:themeFill="accent5" w:themeFillTint="33"/>
          <w:tblCellMar>
            <w:top w:w="0" w:type="dxa"/>
            <w:left w:w="108" w:type="dxa"/>
            <w:bottom w:w="0" w:type="dxa"/>
            <w:right w:w="108" w:type="dxa"/>
          </w:tblCellMar>
        </w:tblPrEx>
        <w:trPr>
          <w:trHeight w:val="390"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1</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会计专业人员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2-06-03-00</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164</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209</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-45</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 xml:space="preserve">0.78 </w:t>
            </w:r>
          </w:p>
        </w:tc>
      </w:tr>
      <w:tr>
        <w:tblPrEx>
          <w:shd w:val="clear" w:color="auto" w:fill="DAEEF3" w:themeFill="accent5" w:themeFillTint="33"/>
          <w:tblCellMar>
            <w:top w:w="0" w:type="dxa"/>
            <w:left w:w="108" w:type="dxa"/>
            <w:bottom w:w="0" w:type="dxa"/>
            <w:right w:w="108" w:type="dxa"/>
          </w:tblCellMar>
        </w:tblPrEx>
        <w:trPr>
          <w:trHeight w:val="390"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2</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行政办事员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3-01-01-01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143</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181</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-38</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 xml:space="preserve">0.79 </w:t>
            </w:r>
          </w:p>
        </w:tc>
      </w:tr>
      <w:tr>
        <w:tblPrEx>
          <w:shd w:val="clear" w:color="auto" w:fill="DAEEF3" w:themeFill="accent5" w:themeFillTint="33"/>
          <w:tblCellMar>
            <w:top w:w="0" w:type="dxa"/>
            <w:left w:w="108" w:type="dxa"/>
            <w:bottom w:w="0" w:type="dxa"/>
            <w:right w:w="108" w:type="dxa"/>
          </w:tblCellMar>
        </w:tblPrEx>
        <w:trPr>
          <w:trHeight w:val="390"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3</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人力资源管理专业人员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2-06-08-01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105</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141</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-36</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 xml:space="preserve">0.74 </w:t>
            </w:r>
          </w:p>
        </w:tc>
      </w:tr>
      <w:tr>
        <w:tblPrEx>
          <w:shd w:val="clear" w:color="auto" w:fill="DAEEF3" w:themeFill="accent5" w:themeFillTint="33"/>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4</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行政办公人员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3-01-01-01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71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107</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-36</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 xml:space="preserve">0.66 </w:t>
            </w:r>
          </w:p>
        </w:tc>
      </w:tr>
      <w:tr>
        <w:tblPrEx>
          <w:shd w:val="clear" w:color="auto" w:fill="DAEEF3" w:themeFill="accent5" w:themeFillTint="33"/>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5</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仓储管理员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4-02-06-01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50</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92</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-42</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 xml:space="preserve">0.54 </w:t>
            </w:r>
          </w:p>
        </w:tc>
      </w:tr>
      <w:tr>
        <w:tblPrEx>
          <w:shd w:val="clear" w:color="auto" w:fill="DAEEF3" w:themeFill="accent5" w:themeFillTint="33"/>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6</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道路客运汽车驾驶员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4-02-02-01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31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69</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-38</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 xml:space="preserve">0.45 </w:t>
            </w:r>
          </w:p>
        </w:tc>
      </w:tr>
      <w:tr>
        <w:tblPrEx>
          <w:shd w:val="clear" w:color="auto" w:fill="DAEEF3" w:themeFill="accent5" w:themeFillTint="33"/>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7</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后勤管理员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3-01-02-08</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23</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61</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-38</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 xml:space="preserve">0.38 </w:t>
            </w:r>
          </w:p>
        </w:tc>
      </w:tr>
      <w:tr>
        <w:tblPrEx>
          <w:shd w:val="clear" w:color="auto" w:fill="DAEEF3" w:themeFill="accent5" w:themeFillTint="33"/>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8</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收银员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4-01-02-04</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21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49</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-28</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 xml:space="preserve">0.43 </w:t>
            </w:r>
          </w:p>
        </w:tc>
      </w:tr>
      <w:tr>
        <w:tblPrEx>
          <w:shd w:val="clear" w:color="auto" w:fill="DAEEF3" w:themeFill="accent5" w:themeFillTint="33"/>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9</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计算机网络工程技术人员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2-02-10-04</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12</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31</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-19</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 xml:space="preserve">0.39 </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10</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秘书</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3-01-02-02</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13</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30</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-17</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jc w:val="center"/>
              <w:rPr>
                <w:rFonts w:ascii="宋体" w:hAnsi="宋体" w:cs="宋体"/>
                <w:sz w:val="24"/>
              </w:rPr>
            </w:pPr>
            <w:r>
              <w:rPr>
                <w:rFonts w:hint="eastAsia"/>
                <w:sz w:val="24"/>
              </w:rPr>
              <w:t xml:space="preserve">0.43 </w:t>
            </w:r>
          </w:p>
        </w:tc>
      </w:tr>
    </w:tbl>
    <w:p>
      <w:pPr>
        <w:adjustRightInd w:val="0"/>
        <w:snapToGrid w:val="0"/>
        <w:spacing w:line="360" w:lineRule="auto"/>
        <w:jc w:val="center"/>
        <w:rPr>
          <w:rFonts w:ascii="宋体" w:hAnsi="宋体"/>
          <w:sz w:val="24"/>
        </w:rPr>
      </w:pPr>
    </w:p>
    <w:p>
      <w:pPr>
        <w:widowControl/>
        <w:spacing w:before="100" w:beforeAutospacing="1" w:after="100" w:afterAutospacing="1" w:line="360" w:lineRule="auto"/>
        <w:ind w:firstLine="480" w:firstLineChars="200"/>
        <w:jc w:val="left"/>
        <w:rPr>
          <w:rFonts w:ascii="宋体" w:hAnsi="宋体"/>
          <w:color w:val="FF0000"/>
          <w:sz w:val="24"/>
        </w:rPr>
      </w:pPr>
      <w:r>
        <w:rPr>
          <w:rFonts w:hint="eastAsia" w:ascii="宋体" w:hAnsi="宋体" w:cs="宋体"/>
          <w:kern w:val="0"/>
          <w:sz w:val="24"/>
        </w:rPr>
        <w:t>从表6、表7反映出，本季度需求缺口排名前三位的是：纺纱工、缝纫工、电工，与去年同期及上期情况基本一致，说明这些工种需求量较大，亦与我市产业结构的分布吻合，裁剪缝纫工、纺纱人员、一线操作工等工种依旧占我市人力资源市场需求的主体位置。</w:t>
      </w:r>
    </w:p>
    <w:p>
      <w:pPr>
        <w:adjustRightInd w:val="0"/>
        <w:snapToGrid w:val="0"/>
        <w:spacing w:line="360" w:lineRule="auto"/>
        <w:rPr>
          <w:rFonts w:ascii="宋体" w:hAnsi="宋体"/>
          <w:color w:val="FF0000"/>
          <w:sz w:val="24"/>
        </w:rPr>
      </w:pPr>
    </w:p>
    <w:p>
      <w:pPr>
        <w:adjustRightInd w:val="0"/>
        <w:snapToGrid w:val="0"/>
        <w:spacing w:line="360" w:lineRule="auto"/>
        <w:rPr>
          <w:rFonts w:ascii="宋体" w:hAnsi="宋体"/>
          <w:b/>
          <w:sz w:val="24"/>
        </w:rPr>
      </w:pPr>
      <w:r>
        <w:rPr>
          <w:rFonts w:hint="eastAsia" w:ascii="宋体" w:hAnsi="宋体"/>
          <w:b/>
          <w:sz w:val="24"/>
        </w:rPr>
        <w:t>（五）</w:t>
      </w:r>
      <w:r>
        <w:rPr>
          <w:rFonts w:ascii="宋体" w:hAnsi="宋体"/>
          <w:b/>
          <w:sz w:val="24"/>
        </w:rPr>
        <w:t>、求职人员分类</w:t>
      </w:r>
    </w:p>
    <w:p>
      <w:pPr>
        <w:adjustRightInd w:val="0"/>
        <w:snapToGrid w:val="0"/>
        <w:spacing w:line="360" w:lineRule="auto"/>
        <w:ind w:firstLine="480" w:firstLineChars="200"/>
        <w:rPr>
          <w:rFonts w:ascii="宋体" w:hAnsi="宋体" w:cs="宋体"/>
          <w:kern w:val="0"/>
          <w:sz w:val="24"/>
        </w:rPr>
      </w:pPr>
      <w:r>
        <w:rPr>
          <w:rFonts w:hint="eastAsia" w:ascii="宋体" w:hAnsi="宋体" w:cs="宋体"/>
          <w:kern w:val="0"/>
          <w:sz w:val="24"/>
        </w:rPr>
        <w:t>根据求职人员类别分析，本季度中列前三位的求职者分别是外埠人员37.09%，本市农村人员23.32%，</w:t>
      </w:r>
      <w:r>
        <w:rPr>
          <w:rFonts w:hint="eastAsia" w:ascii="仿宋_GB2312" w:hAnsi="Verdana" w:cs="宋体"/>
          <w:kern w:val="0"/>
          <w:sz w:val="24"/>
        </w:rPr>
        <w:t>新成长毕业青年</w:t>
      </w:r>
      <w:r>
        <w:rPr>
          <w:rFonts w:hint="eastAsia" w:ascii="宋体" w:hAnsi="宋体" w:cs="宋体"/>
          <w:kern w:val="0"/>
          <w:sz w:val="24"/>
        </w:rPr>
        <w:t>17.26%。这一情况与去年同期变化不大。说明求职者中，外来劳动力和本市农村人员一直占求职者的主体。</w:t>
      </w:r>
    </w:p>
    <w:p>
      <w:pPr>
        <w:adjustRightInd w:val="0"/>
        <w:snapToGrid w:val="0"/>
        <w:spacing w:line="360" w:lineRule="auto"/>
        <w:ind w:firstLine="480" w:firstLineChars="200"/>
        <w:rPr>
          <w:rFonts w:ascii="宋体" w:hAnsi="宋体" w:cs="宋体"/>
          <w:kern w:val="0"/>
          <w:sz w:val="24"/>
        </w:rPr>
      </w:pPr>
    </w:p>
    <w:p>
      <w:pPr>
        <w:adjustRightInd w:val="0"/>
        <w:snapToGrid w:val="0"/>
        <w:spacing w:line="360" w:lineRule="auto"/>
        <w:jc w:val="center"/>
        <w:rPr>
          <w:rFonts w:ascii="宋体" w:hAnsi="宋体"/>
          <w:sz w:val="24"/>
        </w:rPr>
      </w:pPr>
      <w:r>
        <w:rPr>
          <w:rFonts w:hint="eastAsia" w:ascii="宋体" w:hAnsi="宋体"/>
          <w:sz w:val="24"/>
        </w:rPr>
        <w:t xml:space="preserve">表8 </w:t>
      </w:r>
      <w:r>
        <w:rPr>
          <w:rFonts w:ascii="宋体" w:hAnsi="宋体"/>
          <w:sz w:val="24"/>
        </w:rPr>
        <w:t>按求职人员类别分组的求职人数</w:t>
      </w:r>
    </w:p>
    <w:tbl>
      <w:tblPr>
        <w:tblStyle w:val="6"/>
        <w:tblW w:w="3452" w:type="pct"/>
        <w:tblCellSpacing w:w="0" w:type="dxa"/>
        <w:tblInd w:w="0"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autofit"/>
        <w:tblCellMar>
          <w:top w:w="0" w:type="dxa"/>
          <w:left w:w="0" w:type="dxa"/>
          <w:bottom w:w="0" w:type="dxa"/>
          <w:right w:w="0" w:type="dxa"/>
        </w:tblCellMar>
      </w:tblPr>
      <w:tblGrid>
        <w:gridCol w:w="2190"/>
        <w:gridCol w:w="1796"/>
        <w:gridCol w:w="1797"/>
      </w:tblGrid>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trPr>
        <w:tc>
          <w:tcPr>
            <w:tcW w:w="2190" w:type="dxa"/>
            <w:tcBorders>
              <w:top w:val="single" w:color="auto" w:sz="8" w:space="0"/>
              <w:left w:val="single" w:color="auto" w:sz="8" w:space="0"/>
              <w:bottom w:val="single" w:color="auto" w:sz="8" w:space="0"/>
              <w:right w:val="single" w:color="auto" w:sz="8" w:space="0"/>
            </w:tcBorders>
            <w:shd w:val="clear" w:color="auto" w:fill="FFFF99"/>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求职人员类别</w:t>
            </w:r>
          </w:p>
        </w:tc>
        <w:tc>
          <w:tcPr>
            <w:tcW w:w="1796" w:type="dxa"/>
            <w:tcBorders>
              <w:top w:val="single" w:color="auto" w:sz="8" w:space="0"/>
              <w:left w:val="single" w:color="000000" w:sz="8" w:space="0"/>
              <w:bottom w:val="single" w:color="auto" w:sz="8" w:space="0"/>
              <w:right w:val="single" w:color="auto" w:sz="8" w:space="0"/>
            </w:tcBorders>
            <w:shd w:val="clear" w:color="auto" w:fill="FFFF99"/>
            <w:tcMar>
              <w:top w:w="15" w:type="dxa"/>
              <w:left w:w="15" w:type="dxa"/>
              <w:bottom w:w="15" w:type="dxa"/>
              <w:right w:w="15" w:type="dxa"/>
            </w:tcMar>
            <w:vAlign w:val="center"/>
          </w:tcPr>
          <w:p>
            <w:pPr>
              <w:widowControl/>
              <w:spacing w:line="360" w:lineRule="auto"/>
              <w:jc w:val="center"/>
              <w:rPr>
                <w:rFonts w:ascii="宋体" w:hAnsi="宋体" w:cs="宋体"/>
                <w:kern w:val="0"/>
                <w:sz w:val="24"/>
              </w:rPr>
            </w:pPr>
            <w:r>
              <w:rPr>
                <w:rFonts w:hint="eastAsia" w:ascii="宋体" w:hAnsi="宋体" w:cs="宋体"/>
                <w:kern w:val="0"/>
                <w:sz w:val="24"/>
              </w:rPr>
              <w:t>本季度</w:t>
            </w:r>
          </w:p>
          <w:p>
            <w:pPr>
              <w:widowControl/>
              <w:spacing w:line="360" w:lineRule="auto"/>
              <w:jc w:val="center"/>
              <w:rPr>
                <w:rFonts w:ascii="宋体" w:hAnsi="宋体" w:cs="宋体"/>
                <w:kern w:val="0"/>
                <w:sz w:val="24"/>
              </w:rPr>
            </w:pPr>
            <w:r>
              <w:rPr>
                <w:rFonts w:hint="eastAsia" w:ascii="宋体" w:hAnsi="宋体" w:cs="宋体"/>
                <w:kern w:val="0"/>
                <w:sz w:val="24"/>
              </w:rPr>
              <w:t>求职人数(人)</w:t>
            </w:r>
          </w:p>
        </w:tc>
        <w:tc>
          <w:tcPr>
            <w:tcW w:w="1797" w:type="dxa"/>
            <w:tcBorders>
              <w:top w:val="single" w:color="auto" w:sz="8" w:space="0"/>
              <w:left w:val="single" w:color="auto" w:sz="8" w:space="0"/>
              <w:bottom w:val="single" w:color="auto" w:sz="8" w:space="0"/>
              <w:right w:val="single" w:color="auto" w:sz="8" w:space="0"/>
            </w:tcBorders>
            <w:shd w:val="clear" w:color="auto" w:fill="FFFF99"/>
            <w:tcMar>
              <w:top w:w="15" w:type="dxa"/>
              <w:left w:w="15" w:type="dxa"/>
              <w:bottom w:w="15" w:type="dxa"/>
              <w:right w:w="15" w:type="dxa"/>
            </w:tcMar>
            <w:vAlign w:val="center"/>
          </w:tcPr>
          <w:p>
            <w:pPr>
              <w:widowControl/>
              <w:spacing w:line="360" w:lineRule="auto"/>
              <w:jc w:val="center"/>
              <w:rPr>
                <w:rFonts w:ascii="宋体" w:hAnsi="宋体" w:cs="宋体"/>
                <w:kern w:val="0"/>
                <w:sz w:val="24"/>
              </w:rPr>
            </w:pPr>
            <w:r>
              <w:rPr>
                <w:rFonts w:hint="eastAsia" w:ascii="宋体" w:hAnsi="宋体" w:cs="宋体"/>
                <w:kern w:val="0"/>
                <w:sz w:val="24"/>
              </w:rPr>
              <w:t>本季度</w:t>
            </w:r>
          </w:p>
          <w:p>
            <w:pPr>
              <w:widowControl/>
              <w:spacing w:line="360" w:lineRule="auto"/>
              <w:jc w:val="center"/>
              <w:rPr>
                <w:rFonts w:ascii="宋体" w:hAnsi="宋体" w:cs="宋体"/>
                <w:kern w:val="0"/>
                <w:sz w:val="24"/>
              </w:rPr>
            </w:pPr>
            <w:r>
              <w:rPr>
                <w:rFonts w:hint="eastAsia" w:ascii="宋体" w:hAnsi="宋体" w:cs="宋体"/>
                <w:kern w:val="0"/>
                <w:sz w:val="24"/>
              </w:rPr>
              <w:t>所占比重(%)</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新成长失业青年</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4"/>
              </w:rPr>
            </w:pPr>
            <w:r>
              <w:rPr>
                <w:rFonts w:hint="eastAsia"/>
                <w:color w:val="000000"/>
                <w:sz w:val="24"/>
              </w:rPr>
              <w:t>6812</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4"/>
              </w:rPr>
            </w:pPr>
            <w:r>
              <w:rPr>
                <w:rFonts w:hint="eastAsia"/>
                <w:color w:val="000000"/>
                <w:sz w:val="24"/>
              </w:rPr>
              <w:t>17.26%</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其中：应届高校毕业生</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4"/>
              </w:rPr>
            </w:pPr>
            <w:r>
              <w:rPr>
                <w:rFonts w:hint="eastAsia"/>
                <w:color w:val="000000"/>
                <w:sz w:val="24"/>
              </w:rPr>
              <w:t>6327</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4"/>
              </w:rPr>
            </w:pPr>
            <w:r>
              <w:rPr>
                <w:rFonts w:hint="eastAsia"/>
                <w:color w:val="000000"/>
                <w:sz w:val="24"/>
              </w:rPr>
              <w:t>16.03%</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失业人员</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4"/>
              </w:rPr>
            </w:pPr>
            <w:r>
              <w:rPr>
                <w:rFonts w:hint="eastAsia"/>
                <w:color w:val="000000"/>
                <w:sz w:val="24"/>
              </w:rPr>
              <w:t>7645</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4"/>
              </w:rPr>
            </w:pPr>
            <w:r>
              <w:rPr>
                <w:rFonts w:hint="eastAsia"/>
                <w:color w:val="000000"/>
                <w:sz w:val="24"/>
              </w:rPr>
              <w:t>19.37%</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在业人员</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4"/>
              </w:rPr>
            </w:pPr>
            <w:r>
              <w:rPr>
                <w:rFonts w:hint="eastAsia"/>
                <w:color w:val="000000"/>
                <w:sz w:val="24"/>
              </w:rPr>
              <w:t>1169</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4"/>
              </w:rPr>
            </w:pPr>
            <w:r>
              <w:rPr>
                <w:rFonts w:hint="eastAsia"/>
                <w:color w:val="000000"/>
                <w:sz w:val="24"/>
              </w:rPr>
              <w:t>2.96%</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退休人员</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4"/>
              </w:rPr>
            </w:pPr>
            <w:r>
              <w:rPr>
                <w:rFonts w:hint="eastAsia"/>
                <w:color w:val="000000"/>
                <w:sz w:val="24"/>
              </w:rPr>
              <w:t>0</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4"/>
              </w:rPr>
            </w:pPr>
            <w:r>
              <w:rPr>
                <w:rFonts w:hint="eastAsia"/>
                <w:color w:val="000000"/>
                <w:sz w:val="24"/>
              </w:rPr>
              <w:t>0.00%</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在学人员</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4"/>
              </w:rPr>
            </w:pPr>
            <w:r>
              <w:rPr>
                <w:rFonts w:hint="eastAsia"/>
                <w:color w:val="000000"/>
                <w:sz w:val="24"/>
              </w:rPr>
              <w:t>0</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4"/>
              </w:rPr>
            </w:pPr>
            <w:r>
              <w:rPr>
                <w:rFonts w:hint="eastAsia"/>
                <w:color w:val="000000"/>
                <w:sz w:val="24"/>
              </w:rPr>
              <w:t>0.00%</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本市农村人员</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4"/>
              </w:rPr>
            </w:pPr>
            <w:r>
              <w:rPr>
                <w:rFonts w:hint="eastAsia"/>
                <w:color w:val="000000"/>
                <w:sz w:val="24"/>
              </w:rPr>
              <w:t>9201</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4"/>
              </w:rPr>
            </w:pPr>
            <w:r>
              <w:rPr>
                <w:rFonts w:hint="eastAsia"/>
                <w:color w:val="000000"/>
                <w:sz w:val="24"/>
              </w:rPr>
              <w:t>23.32%</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外埠人员</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4"/>
              </w:rPr>
            </w:pPr>
            <w:r>
              <w:rPr>
                <w:rFonts w:hint="eastAsia"/>
                <w:color w:val="000000"/>
                <w:sz w:val="24"/>
              </w:rPr>
              <w:t>14636</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4"/>
              </w:rPr>
            </w:pPr>
            <w:r>
              <w:rPr>
                <w:rFonts w:hint="eastAsia"/>
                <w:color w:val="000000"/>
                <w:sz w:val="24"/>
              </w:rPr>
              <w:t>37.09%</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合计</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4"/>
              </w:rPr>
            </w:pPr>
            <w:r>
              <w:rPr>
                <w:rFonts w:hint="eastAsia"/>
                <w:color w:val="000000"/>
                <w:sz w:val="24"/>
              </w:rPr>
              <w:t>39463</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4"/>
              </w:rPr>
            </w:pPr>
            <w:r>
              <w:rPr>
                <w:rFonts w:hint="eastAsia"/>
                <w:color w:val="000000"/>
                <w:sz w:val="24"/>
              </w:rPr>
              <w:t>100.00%</w:t>
            </w:r>
          </w:p>
        </w:tc>
      </w:tr>
    </w:tbl>
    <w:p>
      <w:pPr>
        <w:adjustRightInd w:val="0"/>
        <w:snapToGrid w:val="0"/>
        <w:spacing w:line="360" w:lineRule="auto"/>
        <w:rPr>
          <w:rFonts w:ascii="宋体" w:hAnsi="宋体"/>
          <w:color w:val="FF0000"/>
          <w:sz w:val="24"/>
        </w:rPr>
      </w:pPr>
    </w:p>
    <w:p>
      <w:pPr>
        <w:adjustRightInd w:val="0"/>
        <w:snapToGrid w:val="0"/>
        <w:spacing w:line="360" w:lineRule="auto"/>
        <w:rPr>
          <w:rFonts w:ascii="宋体" w:hAnsi="宋体"/>
          <w:b/>
          <w:sz w:val="24"/>
        </w:rPr>
      </w:pPr>
      <w:r>
        <w:rPr>
          <w:rFonts w:hint="eastAsia" w:ascii="宋体" w:hAnsi="宋体"/>
          <w:b/>
          <w:sz w:val="24"/>
        </w:rPr>
        <w:t>（六）</w:t>
      </w:r>
      <w:r>
        <w:rPr>
          <w:rFonts w:ascii="宋体" w:hAnsi="宋体"/>
          <w:b/>
          <w:sz w:val="24"/>
        </w:rPr>
        <w:t>、招聘、应聘条件分析</w:t>
      </w:r>
    </w:p>
    <w:p>
      <w:pPr>
        <w:adjustRightInd w:val="0"/>
        <w:snapToGrid w:val="0"/>
        <w:spacing w:line="360" w:lineRule="auto"/>
        <w:rPr>
          <w:rFonts w:ascii="宋体" w:hAnsi="宋体"/>
          <w:sz w:val="24"/>
        </w:rPr>
      </w:pPr>
      <w:r>
        <w:rPr>
          <w:rFonts w:hint="eastAsia" w:ascii="宋体" w:hAnsi="宋体"/>
          <w:sz w:val="24"/>
        </w:rPr>
        <w:t xml:space="preserve">1. </w:t>
      </w:r>
      <w:r>
        <w:rPr>
          <w:rFonts w:ascii="宋体" w:hAnsi="宋体"/>
          <w:sz w:val="24"/>
        </w:rPr>
        <w:t>年龄</w:t>
      </w:r>
    </w:p>
    <w:p>
      <w:pPr>
        <w:spacing w:line="360" w:lineRule="auto"/>
        <w:ind w:firstLine="480" w:firstLineChars="200"/>
        <w:rPr>
          <w:rFonts w:hint="eastAsia" w:ascii="宋体" w:hAnsi="宋体" w:cs="宋体"/>
          <w:kern w:val="0"/>
          <w:sz w:val="24"/>
        </w:rPr>
      </w:pPr>
      <w:r>
        <w:rPr>
          <w:rFonts w:ascii="宋体" w:hAnsi="宋体" w:cs="宋体"/>
          <w:kern w:val="0"/>
          <w:sz w:val="24"/>
        </w:rPr>
        <w:t>从</w:t>
      </w:r>
      <w:r>
        <w:rPr>
          <w:rFonts w:hint="eastAsia" w:ascii="宋体" w:hAnsi="宋体" w:cs="宋体"/>
          <w:kern w:val="0"/>
          <w:sz w:val="24"/>
        </w:rPr>
        <w:t>下图</w:t>
      </w:r>
      <w:r>
        <w:rPr>
          <w:rFonts w:ascii="宋体" w:hAnsi="宋体" w:cs="宋体"/>
          <w:kern w:val="0"/>
          <w:sz w:val="24"/>
        </w:rPr>
        <w:t>可以看出</w:t>
      </w:r>
      <w:r>
        <w:rPr>
          <w:rFonts w:hint="eastAsia" w:ascii="宋体" w:hAnsi="宋体" w:cs="宋体"/>
          <w:kern w:val="0"/>
          <w:sz w:val="24"/>
        </w:rPr>
        <w:t>，</w:t>
      </w:r>
      <w:r>
        <w:rPr>
          <w:rFonts w:ascii="宋体" w:hAnsi="宋体" w:cs="宋体"/>
          <w:kern w:val="0"/>
          <w:sz w:val="24"/>
        </w:rPr>
        <w:t>本季度需求人数最多的是</w:t>
      </w:r>
      <w:r>
        <w:rPr>
          <w:rFonts w:hint="eastAsia" w:ascii="宋体" w:hAnsi="宋体" w:cs="宋体"/>
          <w:kern w:val="0"/>
          <w:sz w:val="24"/>
        </w:rPr>
        <w:t>25-34</w:t>
      </w:r>
      <w:r>
        <w:rPr>
          <w:rFonts w:ascii="宋体" w:hAnsi="宋体" w:cs="宋体"/>
          <w:kern w:val="0"/>
          <w:sz w:val="24"/>
        </w:rPr>
        <w:t>岁这一年龄段，需求比重</w:t>
      </w:r>
      <w:r>
        <w:rPr>
          <w:rFonts w:hint="eastAsia" w:ascii="宋体" w:hAnsi="宋体" w:cs="宋体"/>
          <w:kern w:val="0"/>
          <w:sz w:val="24"/>
        </w:rPr>
        <w:t>为29.01</w:t>
      </w:r>
      <w:r>
        <w:rPr>
          <w:rFonts w:ascii="宋体" w:hAnsi="宋体" w:cs="宋体"/>
          <w:kern w:val="0"/>
          <w:sz w:val="24"/>
        </w:rPr>
        <w:t>%，需求量最少的仍然是45岁以上，需求比重仅为</w:t>
      </w:r>
      <w:r>
        <w:rPr>
          <w:rFonts w:hint="eastAsia" w:ascii="宋体" w:hAnsi="宋体" w:cs="宋体"/>
          <w:kern w:val="0"/>
          <w:sz w:val="24"/>
        </w:rPr>
        <w:t>1.36</w:t>
      </w:r>
      <w:r>
        <w:rPr>
          <w:rFonts w:ascii="宋体" w:hAnsi="宋体" w:cs="宋体"/>
          <w:kern w:val="0"/>
          <w:sz w:val="24"/>
        </w:rPr>
        <w:t>%</w:t>
      </w:r>
      <w:r>
        <w:rPr>
          <w:rFonts w:hint="eastAsia" w:ascii="宋体" w:hAnsi="宋体" w:cs="宋体"/>
          <w:kern w:val="0"/>
          <w:sz w:val="24"/>
        </w:rPr>
        <w:t>。</w:t>
      </w:r>
      <w:r>
        <w:rPr>
          <w:rFonts w:ascii="宋体" w:hAnsi="宋体" w:cs="宋体"/>
          <w:kern w:val="0"/>
          <w:sz w:val="24"/>
        </w:rPr>
        <w:t>从求职来看，16-24岁和25-34岁的求职人群是求职主体，求职比重分别为</w:t>
      </w:r>
      <w:r>
        <w:rPr>
          <w:rFonts w:hint="eastAsia" w:ascii="宋体" w:hAnsi="宋体" w:cs="宋体"/>
          <w:kern w:val="0"/>
          <w:sz w:val="24"/>
        </w:rPr>
        <w:t>33.08</w:t>
      </w:r>
      <w:r>
        <w:rPr>
          <w:rFonts w:ascii="宋体" w:hAnsi="宋体" w:cs="宋体"/>
          <w:kern w:val="0"/>
          <w:sz w:val="24"/>
        </w:rPr>
        <w:t>%和</w:t>
      </w:r>
      <w:r>
        <w:rPr>
          <w:rFonts w:hint="eastAsia" w:ascii="宋体" w:hAnsi="宋体" w:cs="宋体"/>
          <w:kern w:val="0"/>
          <w:sz w:val="24"/>
        </w:rPr>
        <w:t>33.65</w:t>
      </w:r>
      <w:r>
        <w:rPr>
          <w:rFonts w:ascii="宋体" w:hAnsi="宋体" w:cs="宋体"/>
          <w:kern w:val="0"/>
          <w:sz w:val="24"/>
        </w:rPr>
        <w:t>%。</w:t>
      </w:r>
    </w:p>
    <w:p>
      <w:pPr>
        <w:spacing w:line="360" w:lineRule="auto"/>
        <w:ind w:firstLine="480" w:firstLineChars="200"/>
        <w:rPr>
          <w:rFonts w:ascii="宋体" w:hAnsi="宋体" w:cs="宋体"/>
          <w:kern w:val="0"/>
          <w:sz w:val="24"/>
        </w:rPr>
      </w:pPr>
      <w:r>
        <w:rPr>
          <w:rFonts w:hint="eastAsia" w:ascii="宋体" w:hAnsi="宋体" w:cs="宋体"/>
          <w:kern w:val="0"/>
          <w:sz w:val="24"/>
        </w:rPr>
        <w:t>表10. 按年龄分组的供求人数</w:t>
      </w:r>
    </w:p>
    <w:tbl>
      <w:tblPr>
        <w:tblStyle w:val="6"/>
        <w:tblW w:w="5775" w:type="dxa"/>
        <w:tblInd w:w="93"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095"/>
        <w:gridCol w:w="900"/>
        <w:gridCol w:w="900"/>
        <w:gridCol w:w="900"/>
        <w:gridCol w:w="900"/>
        <w:gridCol w:w="108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397" w:hRule="atLeast"/>
        </w:trPr>
        <w:tc>
          <w:tcPr>
            <w:tcW w:w="1095" w:type="dxa"/>
            <w:vMerge w:val="restart"/>
            <w:tcBorders>
              <w:top w:val="single" w:color="auto" w:sz="8" w:space="0"/>
              <w:left w:val="single" w:color="auto" w:sz="8" w:space="0"/>
              <w:bottom w:val="single" w:color="000000"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年龄</w:t>
            </w:r>
          </w:p>
        </w:tc>
        <w:tc>
          <w:tcPr>
            <w:tcW w:w="4680" w:type="dxa"/>
            <w:gridSpan w:val="5"/>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劳动力供求人数比较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397" w:hRule="atLeast"/>
        </w:trPr>
        <w:tc>
          <w:tcPr>
            <w:tcW w:w="1095" w:type="dxa"/>
            <w:vMerge w:val="continue"/>
            <w:tcBorders>
              <w:top w:val="single" w:color="auto" w:sz="8" w:space="0"/>
              <w:left w:val="single" w:color="auto" w:sz="8" w:space="0"/>
              <w:bottom w:val="single" w:color="000000" w:sz="8" w:space="0"/>
              <w:right w:val="single" w:color="auto" w:sz="8" w:space="0"/>
            </w:tcBorders>
            <w:vAlign w:val="center"/>
          </w:tcPr>
          <w:p>
            <w:pPr>
              <w:widowControl/>
              <w:spacing w:line="360" w:lineRule="auto"/>
              <w:jc w:val="left"/>
              <w:rPr>
                <w:rFonts w:ascii="宋体" w:hAnsi="宋体" w:cs="宋体"/>
                <w:kern w:val="0"/>
                <w:sz w:val="24"/>
              </w:rPr>
            </w:pPr>
          </w:p>
        </w:tc>
        <w:tc>
          <w:tcPr>
            <w:tcW w:w="90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本季度需求人数（人）</w:t>
            </w:r>
          </w:p>
        </w:tc>
        <w:tc>
          <w:tcPr>
            <w:tcW w:w="90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本季度需求比重（</w:t>
            </w:r>
            <w:r>
              <w:rPr>
                <w:rFonts w:ascii="宋体" w:hAnsi="宋体" w:cs="宋体"/>
                <w:kern w:val="0"/>
                <w:sz w:val="24"/>
              </w:rPr>
              <w:t>%</w:t>
            </w:r>
            <w:r>
              <w:rPr>
                <w:rFonts w:hint="eastAsia" w:ascii="宋体" w:hAnsi="宋体" w:cs="宋体"/>
                <w:kern w:val="0"/>
                <w:sz w:val="24"/>
              </w:rPr>
              <w:t>）</w:t>
            </w:r>
          </w:p>
        </w:tc>
        <w:tc>
          <w:tcPr>
            <w:tcW w:w="90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本季度求职人数（人）</w:t>
            </w:r>
          </w:p>
        </w:tc>
        <w:tc>
          <w:tcPr>
            <w:tcW w:w="90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本季度求职比重（</w:t>
            </w:r>
            <w:r>
              <w:rPr>
                <w:rFonts w:ascii="宋体" w:hAnsi="宋体" w:cs="宋体"/>
                <w:kern w:val="0"/>
                <w:sz w:val="24"/>
              </w:rPr>
              <w:t>%</w:t>
            </w:r>
            <w:r>
              <w:rPr>
                <w:rFonts w:hint="eastAsia" w:ascii="宋体" w:hAnsi="宋体" w:cs="宋体"/>
                <w:kern w:val="0"/>
                <w:sz w:val="24"/>
              </w:rPr>
              <w:t>）</w:t>
            </w:r>
          </w:p>
        </w:tc>
        <w:tc>
          <w:tcPr>
            <w:tcW w:w="108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本季度求人倍率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trPr>
        <w:tc>
          <w:tcPr>
            <w:tcW w:w="109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16-24岁</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14264</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28.60%</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13053</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33.08%</w:t>
            </w:r>
          </w:p>
        </w:tc>
        <w:tc>
          <w:tcPr>
            <w:tcW w:w="108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sz w:val="24"/>
              </w:rPr>
            </w:pPr>
            <w:r>
              <w:rPr>
                <w:rFonts w:hint="eastAsia"/>
                <w:sz w:val="24"/>
              </w:rPr>
              <w:t>14264</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trPr>
        <w:tc>
          <w:tcPr>
            <w:tcW w:w="109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25-34岁</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14469</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29.01%</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13278</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33.65%</w:t>
            </w:r>
          </w:p>
        </w:tc>
        <w:tc>
          <w:tcPr>
            <w:tcW w:w="108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sz w:val="24"/>
              </w:rPr>
            </w:pPr>
            <w:r>
              <w:rPr>
                <w:rFonts w:hint="eastAsia"/>
                <w:sz w:val="24"/>
              </w:rPr>
              <w:t>14469</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trPr>
        <w:tc>
          <w:tcPr>
            <w:tcW w:w="109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35-44岁</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13801</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27.67%</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12492</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31.65%</w:t>
            </w:r>
          </w:p>
        </w:tc>
        <w:tc>
          <w:tcPr>
            <w:tcW w:w="108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sz w:val="24"/>
              </w:rPr>
            </w:pPr>
            <w:r>
              <w:rPr>
                <w:rFonts w:hint="eastAsia"/>
                <w:sz w:val="24"/>
              </w:rPr>
              <w:t>13801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trPr>
        <w:tc>
          <w:tcPr>
            <w:tcW w:w="109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45岁以上</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676</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1.36%</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640</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1.62%</w:t>
            </w:r>
          </w:p>
        </w:tc>
        <w:tc>
          <w:tcPr>
            <w:tcW w:w="108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sz w:val="24"/>
              </w:rPr>
            </w:pPr>
            <w:r>
              <w:rPr>
                <w:rFonts w:hint="eastAsia"/>
                <w:sz w:val="24"/>
              </w:rPr>
              <w:t>676</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trPr>
        <w:tc>
          <w:tcPr>
            <w:tcW w:w="109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无要求</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6667</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13.37%</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0</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0.00%</w:t>
            </w:r>
          </w:p>
        </w:tc>
        <w:tc>
          <w:tcPr>
            <w:tcW w:w="108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sz w:val="24"/>
              </w:rPr>
            </w:pPr>
            <w:r>
              <w:rPr>
                <w:rFonts w:hint="eastAsia"/>
                <w:sz w:val="24"/>
              </w:rPr>
              <w:t>6667</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trPr>
        <w:tc>
          <w:tcPr>
            <w:tcW w:w="109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49877</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100.00%</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39463</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100.00%</w:t>
            </w:r>
          </w:p>
        </w:tc>
        <w:tc>
          <w:tcPr>
            <w:tcW w:w="108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sz w:val="24"/>
              </w:rPr>
            </w:pPr>
            <w:r>
              <w:rPr>
                <w:rFonts w:hint="eastAsia"/>
                <w:sz w:val="24"/>
              </w:rPr>
              <w:t>49877</w:t>
            </w:r>
          </w:p>
        </w:tc>
      </w:tr>
    </w:tbl>
    <w:p>
      <w:pPr>
        <w:adjustRightInd w:val="0"/>
        <w:snapToGrid w:val="0"/>
        <w:spacing w:line="360" w:lineRule="auto"/>
        <w:rPr>
          <w:rFonts w:ascii="宋体" w:hAnsi="宋体"/>
          <w:color w:val="FF0000"/>
          <w:sz w:val="24"/>
        </w:rPr>
      </w:pPr>
    </w:p>
    <w:p>
      <w:pPr>
        <w:adjustRightInd w:val="0"/>
        <w:snapToGrid w:val="0"/>
        <w:spacing w:line="360" w:lineRule="auto"/>
        <w:rPr>
          <w:rFonts w:hint="eastAsia" w:ascii="宋体" w:hAnsi="宋体"/>
          <w:sz w:val="24"/>
        </w:rPr>
      </w:pPr>
      <w:r>
        <w:rPr>
          <w:rFonts w:hint="eastAsia" w:ascii="宋体" w:hAnsi="宋体"/>
          <w:sz w:val="24"/>
        </w:rPr>
        <w:t xml:space="preserve">2. </w:t>
      </w:r>
      <w:r>
        <w:rPr>
          <w:rFonts w:ascii="宋体" w:hAnsi="宋体"/>
          <w:sz w:val="24"/>
        </w:rPr>
        <w:t>文化程度</w:t>
      </w:r>
    </w:p>
    <w:p>
      <w:pPr>
        <w:adjustRightInd w:val="0"/>
        <w:snapToGrid w:val="0"/>
        <w:spacing w:line="360" w:lineRule="auto"/>
        <w:ind w:firstLine="480" w:firstLineChars="200"/>
        <w:rPr>
          <w:rFonts w:ascii="宋体" w:hAnsi="宋体"/>
          <w:sz w:val="24"/>
        </w:rPr>
      </w:pPr>
      <w:r>
        <w:rPr>
          <w:rFonts w:hint="eastAsia" w:ascii="宋体" w:hAnsi="宋体" w:cs="宋体"/>
          <w:kern w:val="0"/>
          <w:sz w:val="24"/>
        </w:rPr>
        <w:t xml:space="preserve">在需求人群中，本季度大专和高中任然是需求比重最大的，在求职人群中，也是高中及大专占了总求职的绝大多数。总体上讲，文化水平虽然在逐渐提高，但还是以高中和大专为主，高学历人才相对较少，本科比例为16.44%，硕士以上人员比例仅占0.49%。 </w:t>
      </w:r>
    </w:p>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表11. 按文化程度分组的供求人数</w:t>
      </w:r>
    </w:p>
    <w:tbl>
      <w:tblPr>
        <w:tblStyle w:val="6"/>
        <w:tblW w:w="4912"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307"/>
        <w:gridCol w:w="1135"/>
        <w:gridCol w:w="1077"/>
        <w:gridCol w:w="1259"/>
        <w:gridCol w:w="1797"/>
        <w:gridCol w:w="1797"/>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67" w:hRule="atLeast"/>
        </w:trPr>
        <w:tc>
          <w:tcPr>
            <w:tcW w:w="781" w:type="pct"/>
            <w:vMerge w:val="restart"/>
            <w:tcBorders>
              <w:top w:val="single" w:color="auto" w:sz="8" w:space="0"/>
              <w:left w:val="single" w:color="auto" w:sz="8" w:space="0"/>
              <w:bottom w:val="single" w:color="000000"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文化程度</w:t>
            </w:r>
          </w:p>
        </w:tc>
        <w:tc>
          <w:tcPr>
            <w:tcW w:w="4219" w:type="pct"/>
            <w:gridSpan w:val="5"/>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劳动力供求人数比较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67" w:hRule="atLeast"/>
        </w:trPr>
        <w:tc>
          <w:tcPr>
            <w:tcW w:w="781" w:type="pct"/>
            <w:vMerge w:val="continue"/>
            <w:tcBorders>
              <w:top w:val="single" w:color="auto" w:sz="8" w:space="0"/>
              <w:left w:val="single" w:color="auto" w:sz="8" w:space="0"/>
              <w:bottom w:val="single" w:color="000000" w:sz="8" w:space="0"/>
              <w:right w:val="single" w:color="auto" w:sz="8" w:space="0"/>
            </w:tcBorders>
            <w:vAlign w:val="center"/>
          </w:tcPr>
          <w:p>
            <w:pPr>
              <w:widowControl/>
              <w:spacing w:line="360" w:lineRule="auto"/>
              <w:jc w:val="center"/>
              <w:rPr>
                <w:rFonts w:ascii="宋体" w:hAnsi="宋体" w:cs="宋体"/>
                <w:kern w:val="0"/>
                <w:sz w:val="24"/>
              </w:rPr>
            </w:pPr>
          </w:p>
        </w:tc>
        <w:tc>
          <w:tcPr>
            <w:tcW w:w="678" w:type="pct"/>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本季度需求人数(人)</w:t>
            </w:r>
          </w:p>
        </w:tc>
        <w:tc>
          <w:tcPr>
            <w:tcW w:w="643" w:type="pct"/>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本季度需求比重(%)</w:t>
            </w:r>
          </w:p>
        </w:tc>
        <w:tc>
          <w:tcPr>
            <w:tcW w:w="752" w:type="pct"/>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本季度求职人数(人)</w:t>
            </w:r>
          </w:p>
        </w:tc>
        <w:tc>
          <w:tcPr>
            <w:tcW w:w="1073" w:type="pct"/>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本季度求职比重 (%)</w:t>
            </w:r>
          </w:p>
        </w:tc>
        <w:tc>
          <w:tcPr>
            <w:tcW w:w="1073" w:type="pct"/>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本季度求人倍率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15" w:hRule="atLeast"/>
        </w:trPr>
        <w:tc>
          <w:tcPr>
            <w:tcW w:w="781"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初中及以下</w:t>
            </w:r>
          </w:p>
        </w:tc>
        <w:tc>
          <w:tcPr>
            <w:tcW w:w="67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5946</w:t>
            </w:r>
          </w:p>
        </w:tc>
        <w:tc>
          <w:tcPr>
            <w:tcW w:w="643"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11.92%</w:t>
            </w:r>
          </w:p>
        </w:tc>
        <w:tc>
          <w:tcPr>
            <w:tcW w:w="752"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4749</w:t>
            </w:r>
          </w:p>
        </w:tc>
        <w:tc>
          <w:tcPr>
            <w:tcW w:w="1073"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12.03%</w:t>
            </w:r>
          </w:p>
        </w:tc>
        <w:tc>
          <w:tcPr>
            <w:tcW w:w="1073" w:type="pct"/>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sz w:val="24"/>
              </w:rPr>
            </w:pPr>
            <w:r>
              <w:rPr>
                <w:rFonts w:hint="eastAsia"/>
                <w:sz w:val="24"/>
              </w:rPr>
              <w:t xml:space="preserve">1.25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1" w:hRule="atLeast"/>
        </w:trPr>
        <w:tc>
          <w:tcPr>
            <w:tcW w:w="781"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高中</w:t>
            </w:r>
          </w:p>
        </w:tc>
        <w:tc>
          <w:tcPr>
            <w:tcW w:w="67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12937</w:t>
            </w:r>
          </w:p>
        </w:tc>
        <w:tc>
          <w:tcPr>
            <w:tcW w:w="643"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25.94%</w:t>
            </w:r>
          </w:p>
        </w:tc>
        <w:tc>
          <w:tcPr>
            <w:tcW w:w="752"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10258</w:t>
            </w:r>
          </w:p>
        </w:tc>
        <w:tc>
          <w:tcPr>
            <w:tcW w:w="1073"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25.99%</w:t>
            </w:r>
          </w:p>
        </w:tc>
        <w:tc>
          <w:tcPr>
            <w:tcW w:w="1073" w:type="pct"/>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sz w:val="24"/>
              </w:rPr>
            </w:pPr>
            <w:r>
              <w:rPr>
                <w:rFonts w:hint="eastAsia"/>
                <w:sz w:val="24"/>
              </w:rPr>
              <w:t xml:space="preserve">1.26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781"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其中：职高、技校、中专</w:t>
            </w:r>
          </w:p>
        </w:tc>
        <w:tc>
          <w:tcPr>
            <w:tcW w:w="67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6123</w:t>
            </w:r>
          </w:p>
        </w:tc>
        <w:tc>
          <w:tcPr>
            <w:tcW w:w="643"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12.28%</w:t>
            </w:r>
          </w:p>
        </w:tc>
        <w:tc>
          <w:tcPr>
            <w:tcW w:w="752"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4829</w:t>
            </w:r>
          </w:p>
        </w:tc>
        <w:tc>
          <w:tcPr>
            <w:tcW w:w="1073"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12.24%</w:t>
            </w:r>
          </w:p>
        </w:tc>
        <w:tc>
          <w:tcPr>
            <w:tcW w:w="1073" w:type="pct"/>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sz w:val="24"/>
              </w:rPr>
            </w:pPr>
            <w:r>
              <w:rPr>
                <w:rFonts w:hint="eastAsia"/>
                <w:sz w:val="24"/>
              </w:rPr>
              <w:t xml:space="preserve">1.27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3" w:hRule="atLeast"/>
        </w:trPr>
        <w:tc>
          <w:tcPr>
            <w:tcW w:w="781"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大专</w:t>
            </w:r>
          </w:p>
        </w:tc>
        <w:tc>
          <w:tcPr>
            <w:tcW w:w="67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22521</w:t>
            </w:r>
          </w:p>
        </w:tc>
        <w:tc>
          <w:tcPr>
            <w:tcW w:w="643"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45.15%</w:t>
            </w:r>
          </w:p>
        </w:tc>
        <w:tc>
          <w:tcPr>
            <w:tcW w:w="752"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17778</w:t>
            </w:r>
          </w:p>
        </w:tc>
        <w:tc>
          <w:tcPr>
            <w:tcW w:w="1073"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45.05%</w:t>
            </w:r>
          </w:p>
        </w:tc>
        <w:tc>
          <w:tcPr>
            <w:tcW w:w="1073" w:type="pct"/>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sz w:val="24"/>
              </w:rPr>
            </w:pPr>
            <w:r>
              <w:rPr>
                <w:rFonts w:hint="eastAsia"/>
                <w:sz w:val="24"/>
              </w:rPr>
              <w:t xml:space="preserve">1.27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43" w:hRule="atLeast"/>
        </w:trPr>
        <w:tc>
          <w:tcPr>
            <w:tcW w:w="781"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大学</w:t>
            </w:r>
          </w:p>
        </w:tc>
        <w:tc>
          <w:tcPr>
            <w:tcW w:w="67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8237</w:t>
            </w:r>
          </w:p>
        </w:tc>
        <w:tc>
          <w:tcPr>
            <w:tcW w:w="643"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16.51%</w:t>
            </w:r>
          </w:p>
        </w:tc>
        <w:tc>
          <w:tcPr>
            <w:tcW w:w="752"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6486</w:t>
            </w:r>
          </w:p>
        </w:tc>
        <w:tc>
          <w:tcPr>
            <w:tcW w:w="1073"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16.44%</w:t>
            </w:r>
          </w:p>
        </w:tc>
        <w:tc>
          <w:tcPr>
            <w:tcW w:w="1073" w:type="pct"/>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sz w:val="24"/>
              </w:rPr>
            </w:pPr>
            <w:r>
              <w:rPr>
                <w:rFonts w:hint="eastAsia"/>
                <w:sz w:val="24"/>
              </w:rPr>
              <w:t xml:space="preserve">1.27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49" w:hRule="atLeast"/>
        </w:trPr>
        <w:tc>
          <w:tcPr>
            <w:tcW w:w="781"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硕士以上</w:t>
            </w:r>
          </w:p>
        </w:tc>
        <w:tc>
          <w:tcPr>
            <w:tcW w:w="67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236</w:t>
            </w:r>
          </w:p>
        </w:tc>
        <w:tc>
          <w:tcPr>
            <w:tcW w:w="643"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0.47%</w:t>
            </w:r>
          </w:p>
        </w:tc>
        <w:tc>
          <w:tcPr>
            <w:tcW w:w="752"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192</w:t>
            </w:r>
          </w:p>
        </w:tc>
        <w:tc>
          <w:tcPr>
            <w:tcW w:w="1073"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0.49%</w:t>
            </w:r>
          </w:p>
        </w:tc>
        <w:tc>
          <w:tcPr>
            <w:tcW w:w="1073" w:type="pct"/>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sz w:val="24"/>
              </w:rPr>
            </w:pPr>
            <w:r>
              <w:rPr>
                <w:rFonts w:hint="eastAsia"/>
                <w:sz w:val="24"/>
              </w:rPr>
              <w:t xml:space="preserve">1.23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5" w:hRule="atLeast"/>
        </w:trPr>
        <w:tc>
          <w:tcPr>
            <w:tcW w:w="781"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无要求</w:t>
            </w:r>
          </w:p>
        </w:tc>
        <w:tc>
          <w:tcPr>
            <w:tcW w:w="67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0</w:t>
            </w:r>
          </w:p>
        </w:tc>
        <w:tc>
          <w:tcPr>
            <w:tcW w:w="643"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0.00%</w:t>
            </w:r>
          </w:p>
        </w:tc>
        <w:tc>
          <w:tcPr>
            <w:tcW w:w="752"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0</w:t>
            </w:r>
          </w:p>
        </w:tc>
        <w:tc>
          <w:tcPr>
            <w:tcW w:w="1073"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0.00%</w:t>
            </w:r>
          </w:p>
        </w:tc>
        <w:tc>
          <w:tcPr>
            <w:tcW w:w="1073" w:type="pct"/>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sz w:val="24"/>
              </w:rPr>
            </w:pPr>
            <w:r>
              <w:rPr>
                <w:rFonts w:hint="eastAsia"/>
                <w:sz w:val="24"/>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3" w:hRule="atLeast"/>
        </w:trPr>
        <w:tc>
          <w:tcPr>
            <w:tcW w:w="781"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67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49877</w:t>
            </w:r>
          </w:p>
        </w:tc>
        <w:tc>
          <w:tcPr>
            <w:tcW w:w="643"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100.00%</w:t>
            </w:r>
          </w:p>
        </w:tc>
        <w:tc>
          <w:tcPr>
            <w:tcW w:w="752"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39463</w:t>
            </w:r>
          </w:p>
        </w:tc>
        <w:tc>
          <w:tcPr>
            <w:tcW w:w="1073"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100.00%</w:t>
            </w:r>
          </w:p>
        </w:tc>
        <w:tc>
          <w:tcPr>
            <w:tcW w:w="1073" w:type="pct"/>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sz w:val="24"/>
              </w:rPr>
            </w:pPr>
            <w:r>
              <w:rPr>
                <w:rFonts w:hint="eastAsia"/>
                <w:sz w:val="24"/>
              </w:rPr>
              <w:t xml:space="preserve">1.26 </w:t>
            </w:r>
          </w:p>
        </w:tc>
      </w:tr>
    </w:tbl>
    <w:p>
      <w:pPr>
        <w:adjustRightInd w:val="0"/>
        <w:snapToGrid w:val="0"/>
        <w:spacing w:line="360" w:lineRule="auto"/>
        <w:rPr>
          <w:rFonts w:ascii="宋体" w:hAnsi="宋体"/>
          <w:color w:val="FF0000"/>
          <w:sz w:val="24"/>
        </w:rPr>
      </w:pPr>
    </w:p>
    <w:p>
      <w:pPr>
        <w:adjustRightInd w:val="0"/>
        <w:snapToGrid w:val="0"/>
        <w:spacing w:line="360" w:lineRule="auto"/>
        <w:rPr>
          <w:rFonts w:ascii="宋体" w:hAnsi="宋体"/>
          <w:sz w:val="24"/>
        </w:rPr>
      </w:pPr>
      <w:r>
        <w:rPr>
          <w:rFonts w:hint="eastAsia" w:ascii="宋体" w:hAnsi="宋体"/>
          <w:sz w:val="24"/>
        </w:rPr>
        <w:t xml:space="preserve">3. </w:t>
      </w:r>
      <w:r>
        <w:rPr>
          <w:rFonts w:ascii="宋体" w:hAnsi="宋体"/>
          <w:sz w:val="24"/>
        </w:rPr>
        <w:t>技术等级或职称</w:t>
      </w:r>
    </w:p>
    <w:p>
      <w:pPr>
        <w:adjustRightInd w:val="0"/>
        <w:snapToGrid w:val="0"/>
        <w:spacing w:line="360" w:lineRule="auto"/>
        <w:ind w:firstLine="480" w:firstLineChars="200"/>
        <w:jc w:val="left"/>
        <w:rPr>
          <w:rFonts w:ascii="宋体" w:hAnsi="宋体"/>
          <w:sz w:val="24"/>
        </w:rPr>
      </w:pPr>
      <w:r>
        <w:rPr>
          <w:rFonts w:hint="eastAsia" w:ascii="宋体" w:hAnsi="宋体"/>
          <w:sz w:val="24"/>
        </w:rPr>
        <w:t>按技术等级分类，需求中无要求的占49.81%，求职者中无技术等级和职称的占53.03%，这两者仍然是需求和求职的主要构成部分，与去年同期相比，</w:t>
      </w:r>
      <w:r>
        <w:rPr>
          <w:rFonts w:ascii="宋体" w:hAnsi="宋体"/>
          <w:sz w:val="24"/>
        </w:rPr>
        <w:t>企业</w:t>
      </w:r>
      <w:r>
        <w:rPr>
          <w:rFonts w:hint="eastAsia" w:ascii="宋体" w:hAnsi="宋体"/>
          <w:sz w:val="24"/>
        </w:rPr>
        <w:t>对于有高技能的人才需要略有增加，而求职者中有职业资格专业技术的比例也逐年上升。</w:t>
      </w:r>
    </w:p>
    <w:p>
      <w:pPr>
        <w:adjustRightInd w:val="0"/>
        <w:snapToGrid w:val="0"/>
        <w:spacing w:line="360" w:lineRule="auto"/>
        <w:jc w:val="center"/>
        <w:rPr>
          <w:rFonts w:ascii="宋体" w:hAnsi="宋体"/>
          <w:sz w:val="24"/>
        </w:rPr>
      </w:pPr>
      <w:r>
        <w:rPr>
          <w:rFonts w:hint="eastAsia" w:ascii="宋体" w:hAnsi="宋体"/>
          <w:sz w:val="24"/>
        </w:rPr>
        <w:t xml:space="preserve">表12 </w:t>
      </w:r>
      <w:r>
        <w:rPr>
          <w:rFonts w:ascii="宋体" w:hAnsi="宋体"/>
          <w:sz w:val="24"/>
        </w:rPr>
        <w:t>按技术等级分组的供求人数</w:t>
      </w:r>
    </w:p>
    <w:tbl>
      <w:tblPr>
        <w:tblStyle w:val="6"/>
        <w:tblW w:w="6678" w:type="dxa"/>
        <w:tblInd w:w="93"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35"/>
        <w:gridCol w:w="1080"/>
        <w:gridCol w:w="900"/>
        <w:gridCol w:w="1080"/>
        <w:gridCol w:w="900"/>
        <w:gridCol w:w="108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67" w:hRule="atLeast"/>
        </w:trPr>
        <w:tc>
          <w:tcPr>
            <w:tcW w:w="1635" w:type="dxa"/>
            <w:vMerge w:val="restart"/>
            <w:tcBorders>
              <w:top w:val="single" w:color="auto" w:sz="8" w:space="0"/>
              <w:left w:val="single" w:color="auto" w:sz="8" w:space="0"/>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技术等级</w:t>
            </w:r>
          </w:p>
        </w:tc>
        <w:tc>
          <w:tcPr>
            <w:tcW w:w="5043" w:type="dxa"/>
            <w:gridSpan w:val="5"/>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劳动力供求人数比较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67" w:hRule="atLeast"/>
        </w:trPr>
        <w:tc>
          <w:tcPr>
            <w:tcW w:w="1635"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360" w:lineRule="auto"/>
              <w:jc w:val="left"/>
              <w:rPr>
                <w:rFonts w:ascii="宋体" w:hAnsi="宋体" w:cs="宋体"/>
                <w:kern w:val="0"/>
                <w:sz w:val="24"/>
              </w:rPr>
            </w:pPr>
          </w:p>
        </w:tc>
        <w:tc>
          <w:tcPr>
            <w:tcW w:w="108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本季度需求人数（人）</w:t>
            </w:r>
          </w:p>
        </w:tc>
        <w:tc>
          <w:tcPr>
            <w:tcW w:w="90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本季度需求比重（</w:t>
            </w:r>
            <w:r>
              <w:rPr>
                <w:rFonts w:ascii="宋体" w:hAnsi="宋体" w:cs="宋体"/>
                <w:kern w:val="0"/>
                <w:sz w:val="24"/>
              </w:rPr>
              <w:t>%</w:t>
            </w:r>
            <w:r>
              <w:rPr>
                <w:rFonts w:hint="eastAsia" w:ascii="宋体" w:hAnsi="宋体" w:cs="宋体"/>
                <w:kern w:val="0"/>
                <w:sz w:val="24"/>
              </w:rPr>
              <w:t>）</w:t>
            </w:r>
          </w:p>
        </w:tc>
        <w:tc>
          <w:tcPr>
            <w:tcW w:w="108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本季度求职人数（人）</w:t>
            </w:r>
          </w:p>
        </w:tc>
        <w:tc>
          <w:tcPr>
            <w:tcW w:w="90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本季度求职比重（</w:t>
            </w:r>
            <w:r>
              <w:rPr>
                <w:rFonts w:ascii="宋体" w:hAnsi="宋体" w:cs="宋体"/>
                <w:kern w:val="0"/>
                <w:sz w:val="24"/>
              </w:rPr>
              <w:t>%</w:t>
            </w:r>
            <w:r>
              <w:rPr>
                <w:rFonts w:hint="eastAsia" w:ascii="宋体" w:hAnsi="宋体" w:cs="宋体"/>
                <w:kern w:val="0"/>
                <w:sz w:val="24"/>
              </w:rPr>
              <w:t>）</w:t>
            </w:r>
          </w:p>
        </w:tc>
        <w:tc>
          <w:tcPr>
            <w:tcW w:w="1083"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本季度求人倍率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63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职业资格五级</w:t>
            </w:r>
            <w:r>
              <w:rPr>
                <w:rFonts w:hint="eastAsia" w:ascii="宋体" w:hAnsi="宋体" w:cs="宋体"/>
                <w:kern w:val="0"/>
                <w:sz w:val="24"/>
              </w:rPr>
              <w:br w:type="textWrapping"/>
            </w:r>
            <w:r>
              <w:rPr>
                <w:rFonts w:hint="eastAsia" w:ascii="宋体" w:hAnsi="宋体" w:cs="宋体"/>
                <w:kern w:val="0"/>
                <w:sz w:val="24"/>
              </w:rPr>
              <w:t>(初级技能)</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15716</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31.51%</w:t>
            </w:r>
          </w:p>
        </w:tc>
        <w:tc>
          <w:tcPr>
            <w:tcW w:w="108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14409</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37.46%</w:t>
            </w:r>
          </w:p>
        </w:tc>
        <w:tc>
          <w:tcPr>
            <w:tcW w:w="1083"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sz w:val="24"/>
              </w:rPr>
            </w:pPr>
            <w:r>
              <w:rPr>
                <w:rFonts w:hint="eastAsia"/>
                <w:sz w:val="24"/>
              </w:rPr>
              <w:t>1.09</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63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职业资格四级</w:t>
            </w:r>
            <w:r>
              <w:rPr>
                <w:rFonts w:hint="eastAsia" w:ascii="宋体" w:hAnsi="宋体" w:cs="宋体"/>
                <w:kern w:val="0"/>
                <w:sz w:val="24"/>
              </w:rPr>
              <w:br w:type="textWrapping"/>
            </w:r>
            <w:r>
              <w:rPr>
                <w:rFonts w:hint="eastAsia" w:ascii="宋体" w:hAnsi="宋体" w:cs="宋体"/>
                <w:kern w:val="0"/>
                <w:sz w:val="24"/>
              </w:rPr>
              <w:t>(中级技能)</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5285</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10.60%</w:t>
            </w:r>
          </w:p>
        </w:tc>
        <w:tc>
          <w:tcPr>
            <w:tcW w:w="108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2486</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6.46%</w:t>
            </w:r>
          </w:p>
        </w:tc>
        <w:tc>
          <w:tcPr>
            <w:tcW w:w="1083"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sz w:val="24"/>
              </w:rPr>
            </w:pPr>
            <w:r>
              <w:rPr>
                <w:rFonts w:hint="eastAsia"/>
                <w:sz w:val="24"/>
              </w:rPr>
              <w:t>2.13</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63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职业资格三级</w:t>
            </w:r>
            <w:r>
              <w:rPr>
                <w:rFonts w:hint="eastAsia" w:ascii="宋体" w:hAnsi="宋体" w:cs="宋体"/>
                <w:kern w:val="0"/>
                <w:sz w:val="24"/>
              </w:rPr>
              <w:br w:type="textWrapping"/>
            </w:r>
            <w:r>
              <w:rPr>
                <w:rFonts w:hint="eastAsia" w:ascii="宋体" w:hAnsi="宋体" w:cs="宋体"/>
                <w:kern w:val="0"/>
                <w:sz w:val="24"/>
              </w:rPr>
              <w:t>(高级技能)</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2126</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4.26%</w:t>
            </w:r>
          </w:p>
        </w:tc>
        <w:tc>
          <w:tcPr>
            <w:tcW w:w="108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798</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2.07%</w:t>
            </w:r>
          </w:p>
        </w:tc>
        <w:tc>
          <w:tcPr>
            <w:tcW w:w="1083"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sz w:val="24"/>
              </w:rPr>
            </w:pPr>
            <w:r>
              <w:rPr>
                <w:rFonts w:hint="eastAsia"/>
                <w:sz w:val="24"/>
              </w:rPr>
              <w:t>2.66</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63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职业资格二级(技师)</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376</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0.75%</w:t>
            </w:r>
          </w:p>
        </w:tc>
        <w:tc>
          <w:tcPr>
            <w:tcW w:w="108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207</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0.54%</w:t>
            </w:r>
          </w:p>
        </w:tc>
        <w:tc>
          <w:tcPr>
            <w:tcW w:w="1083"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sz w:val="24"/>
              </w:rPr>
            </w:pPr>
            <w:r>
              <w:rPr>
                <w:rFonts w:hint="eastAsia"/>
                <w:sz w:val="24"/>
              </w:rPr>
              <w:t>1.82</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63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职业资格一级(高级技师)</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154</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0.31%</w:t>
            </w:r>
          </w:p>
        </w:tc>
        <w:tc>
          <w:tcPr>
            <w:tcW w:w="108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39</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0.10%</w:t>
            </w:r>
          </w:p>
        </w:tc>
        <w:tc>
          <w:tcPr>
            <w:tcW w:w="1083"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sz w:val="24"/>
              </w:rPr>
            </w:pPr>
            <w:r>
              <w:rPr>
                <w:rFonts w:hint="eastAsia"/>
                <w:sz w:val="24"/>
              </w:rPr>
              <w:t>3.95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63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初级专业技术职务</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906</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1.82%</w:t>
            </w:r>
          </w:p>
        </w:tc>
        <w:tc>
          <w:tcPr>
            <w:tcW w:w="108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807</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2.10%</w:t>
            </w:r>
          </w:p>
        </w:tc>
        <w:tc>
          <w:tcPr>
            <w:tcW w:w="1083"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sz w:val="24"/>
              </w:rPr>
            </w:pPr>
            <w:r>
              <w:rPr>
                <w:rFonts w:hint="eastAsia"/>
                <w:sz w:val="24"/>
              </w:rPr>
              <w:t>1.12</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63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中级专业技术职务</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406</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0.81%</w:t>
            </w:r>
          </w:p>
        </w:tc>
        <w:tc>
          <w:tcPr>
            <w:tcW w:w="108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263</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0.68%</w:t>
            </w:r>
          </w:p>
        </w:tc>
        <w:tc>
          <w:tcPr>
            <w:tcW w:w="1083"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sz w:val="24"/>
              </w:rPr>
            </w:pPr>
            <w:r>
              <w:rPr>
                <w:rFonts w:hint="eastAsia"/>
                <w:sz w:val="24"/>
              </w:rPr>
              <w:t>1.54</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63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高级专业技术职务</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62</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0.12%</w:t>
            </w:r>
          </w:p>
        </w:tc>
        <w:tc>
          <w:tcPr>
            <w:tcW w:w="108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58</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0.15%</w:t>
            </w:r>
          </w:p>
        </w:tc>
        <w:tc>
          <w:tcPr>
            <w:tcW w:w="1083"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sz w:val="24"/>
              </w:rPr>
            </w:pPr>
            <w:r>
              <w:rPr>
                <w:rFonts w:hint="eastAsia"/>
                <w:sz w:val="24"/>
              </w:rPr>
              <w:t>1.07</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63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无技术等级或职称</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w:t>
            </w:r>
          </w:p>
        </w:tc>
        <w:tc>
          <w:tcPr>
            <w:tcW w:w="108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20396</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53.03%</w:t>
            </w:r>
          </w:p>
        </w:tc>
        <w:tc>
          <w:tcPr>
            <w:tcW w:w="1083"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sz w:val="24"/>
              </w:rPr>
            </w:pPr>
            <w:r>
              <w:rPr>
                <w:rFonts w:hint="eastAsia"/>
                <w:sz w:val="24"/>
              </w:rPr>
              <w:t>1.22</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63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无要求</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24846</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49.81%</w:t>
            </w:r>
          </w:p>
        </w:tc>
        <w:tc>
          <w:tcPr>
            <w:tcW w:w="108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w:t>
            </w:r>
          </w:p>
        </w:tc>
        <w:tc>
          <w:tcPr>
            <w:tcW w:w="1083"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sz w:val="24"/>
              </w:rPr>
            </w:pPr>
            <w:r>
              <w:rPr>
                <w:rFonts w:hint="eastAsia"/>
                <w:sz w:val="24"/>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63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49877</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100.00%</w:t>
            </w:r>
          </w:p>
        </w:tc>
        <w:tc>
          <w:tcPr>
            <w:tcW w:w="108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39463</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4"/>
              </w:rPr>
            </w:pPr>
            <w:r>
              <w:rPr>
                <w:rFonts w:hint="eastAsia"/>
                <w:sz w:val="24"/>
              </w:rPr>
              <w:t>100.00%</w:t>
            </w:r>
          </w:p>
        </w:tc>
        <w:tc>
          <w:tcPr>
            <w:tcW w:w="1083"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sz w:val="24"/>
              </w:rPr>
            </w:pPr>
            <w:r>
              <w:rPr>
                <w:rFonts w:hint="eastAsia"/>
                <w:sz w:val="24"/>
              </w:rPr>
              <w:t>1.26</w:t>
            </w:r>
          </w:p>
        </w:tc>
      </w:tr>
    </w:tbl>
    <w:p>
      <w:pPr>
        <w:adjustRightInd w:val="0"/>
        <w:snapToGrid w:val="0"/>
        <w:spacing w:line="360" w:lineRule="auto"/>
        <w:jc w:val="left"/>
        <w:rPr>
          <w:rFonts w:ascii="宋体" w:hAnsi="宋体"/>
          <w:sz w:val="24"/>
          <w:highlight w:val="yellow"/>
        </w:rPr>
      </w:pPr>
    </w:p>
    <w:p>
      <w:pPr>
        <w:adjustRightInd w:val="0"/>
        <w:snapToGrid w:val="0"/>
        <w:spacing w:line="360" w:lineRule="auto"/>
        <w:jc w:val="left"/>
        <w:rPr>
          <w:rFonts w:ascii="宋体" w:hAnsi="宋体"/>
          <w:b/>
          <w:sz w:val="24"/>
        </w:rPr>
      </w:pPr>
      <w:r>
        <w:rPr>
          <w:rFonts w:hint="eastAsia" w:ascii="宋体" w:hAnsi="宋体"/>
          <w:sz w:val="24"/>
        </w:rPr>
        <w:t>三、二</w:t>
      </w:r>
      <w:r>
        <w:rPr>
          <w:rFonts w:hint="eastAsia" w:ascii="宋体" w:hAnsi="宋体"/>
          <w:b/>
          <w:sz w:val="24"/>
        </w:rPr>
        <w:t>季度人力资源市场运行状况和特点及应对措施</w:t>
      </w:r>
    </w:p>
    <w:p>
      <w:pPr>
        <w:adjustRightInd w:val="0"/>
        <w:snapToGrid w:val="0"/>
        <w:spacing w:line="360" w:lineRule="auto"/>
        <w:jc w:val="left"/>
        <w:rPr>
          <w:rFonts w:ascii="宋体" w:hAnsi="宋体"/>
          <w:b/>
          <w:sz w:val="24"/>
        </w:rPr>
      </w:pPr>
      <w:r>
        <w:rPr>
          <w:rFonts w:hint="eastAsia" w:ascii="宋体" w:hAnsi="宋体"/>
          <w:b/>
          <w:sz w:val="24"/>
        </w:rPr>
        <w:t>（一）、二季度人力资源市场运行状况和特点</w:t>
      </w:r>
    </w:p>
    <w:p>
      <w:pPr>
        <w:adjustRightInd w:val="0"/>
        <w:snapToGrid w:val="0"/>
        <w:spacing w:line="360" w:lineRule="auto"/>
        <w:ind w:firstLine="420"/>
        <w:jc w:val="left"/>
        <w:rPr>
          <w:rFonts w:ascii="宋体" w:hAnsi="宋体"/>
          <w:sz w:val="24"/>
        </w:rPr>
      </w:pPr>
      <w:r>
        <w:rPr>
          <w:rFonts w:hint="eastAsia" w:ascii="宋体" w:hAnsi="宋体"/>
          <w:sz w:val="24"/>
        </w:rPr>
        <w:t>1、本季度需求数为49877人，求职数为39463人，求人倍率为1.26，求人倍率比一季度略有下降。二季度疫情影响逐渐缓解，但企业一线操作工缺口还比较大。</w:t>
      </w:r>
    </w:p>
    <w:p>
      <w:pPr>
        <w:adjustRightInd w:val="0"/>
        <w:snapToGrid w:val="0"/>
        <w:spacing w:line="360" w:lineRule="auto"/>
        <w:ind w:firstLine="420"/>
        <w:jc w:val="left"/>
        <w:rPr>
          <w:rFonts w:ascii="宋体" w:hAnsi="宋体"/>
          <w:sz w:val="24"/>
        </w:rPr>
      </w:pPr>
      <w:r>
        <w:rPr>
          <w:rFonts w:hint="eastAsia" w:ascii="宋体" w:hAnsi="宋体"/>
          <w:sz w:val="24"/>
        </w:rPr>
        <w:t>2、因今年新冠疫情影响，上半年的求人倍率较去年同期略增，4月份因周边省份疫情爆发，影响较为严重，5月份开始逐渐缓解。</w:t>
      </w:r>
    </w:p>
    <w:p>
      <w:pPr>
        <w:adjustRightInd w:val="0"/>
        <w:snapToGrid w:val="0"/>
        <w:spacing w:line="360" w:lineRule="auto"/>
        <w:ind w:firstLine="420"/>
        <w:jc w:val="left"/>
        <w:rPr>
          <w:rFonts w:ascii="宋体" w:hAnsi="宋体"/>
          <w:sz w:val="24"/>
        </w:rPr>
      </w:pPr>
      <w:r>
        <w:rPr>
          <w:rFonts w:ascii="宋体" w:hAnsi="宋体"/>
          <w:sz w:val="24"/>
        </w:rPr>
        <w:drawing>
          <wp:inline distT="0" distB="0" distL="0" distR="0">
            <wp:extent cx="4457700" cy="1647825"/>
            <wp:effectExtent l="4445" t="5080" r="14605" b="444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adjustRightInd w:val="0"/>
        <w:snapToGrid w:val="0"/>
        <w:spacing w:line="360" w:lineRule="auto"/>
        <w:jc w:val="left"/>
        <w:rPr>
          <w:rFonts w:ascii="宋体" w:hAnsi="宋体"/>
          <w:b/>
          <w:sz w:val="24"/>
        </w:rPr>
      </w:pPr>
      <w:r>
        <w:rPr>
          <w:rFonts w:hint="eastAsia" w:ascii="宋体" w:hAnsi="宋体"/>
          <w:b/>
          <w:sz w:val="24"/>
        </w:rPr>
        <w:t>（二）、招工难的原因分析</w:t>
      </w:r>
    </w:p>
    <w:p>
      <w:pPr>
        <w:spacing w:line="360" w:lineRule="auto"/>
        <w:rPr>
          <w:rFonts w:ascii="宋体" w:hAnsi="宋体"/>
          <w:sz w:val="24"/>
        </w:rPr>
      </w:pPr>
      <w:r>
        <w:rPr>
          <w:rFonts w:hint="eastAsia" w:ascii="宋体" w:hAnsi="宋体"/>
          <w:b/>
          <w:sz w:val="24"/>
        </w:rPr>
        <w:t>1、疫情影响</w:t>
      </w:r>
      <w:r>
        <w:rPr>
          <w:rFonts w:hint="eastAsia" w:ascii="宋体" w:hAnsi="宋体"/>
          <w:sz w:val="24"/>
        </w:rPr>
        <w:t>：受疫情影响，上半年一般采用线上招聘的方式，宣传途径和招聘渠道相对较狭窄，威胜医疗、鹿港科技等公司反映线上招聘效果不太理想，希望能多召开线下招聘会；天宇羊毛工业（张家港保税区）有限公司反映疫情过后许多外地员工选择回老家发展，也给企业招工增加了一定的难度，易华润东表示疫情期间员工稳定性不高，很多人想先找工作过渡，等疫情缓解就换工作或者回老家；</w:t>
      </w:r>
    </w:p>
    <w:p>
      <w:pPr>
        <w:spacing w:line="360" w:lineRule="auto"/>
        <w:rPr>
          <w:rFonts w:ascii="宋体" w:hAnsi="宋体"/>
          <w:sz w:val="24"/>
        </w:rPr>
      </w:pPr>
      <w:r>
        <w:rPr>
          <w:rFonts w:hint="eastAsia" w:ascii="宋体" w:hAnsi="宋体"/>
          <w:b/>
          <w:sz w:val="24"/>
        </w:rPr>
        <w:t>2、金属和纺织制造业工作环境差导致人员流失</w:t>
      </w:r>
      <w:r>
        <w:rPr>
          <w:rFonts w:hint="eastAsia" w:ascii="宋体" w:hAnsi="宋体"/>
          <w:sz w:val="24"/>
        </w:rPr>
        <w:t>：亚鑫精密制管、天宇羊毛等公司反映马上进入夏季高温季节，金属制造和纺织类企业由于工作性质原因，工作环境较差，员工流失大，社会招聘也更加困难；</w:t>
      </w:r>
    </w:p>
    <w:p>
      <w:pPr>
        <w:spacing w:line="360" w:lineRule="auto"/>
        <w:rPr>
          <w:rFonts w:ascii="宋体" w:hAnsi="宋体"/>
          <w:sz w:val="24"/>
        </w:rPr>
      </w:pPr>
      <w:r>
        <w:rPr>
          <w:rFonts w:hint="eastAsia" w:ascii="宋体" w:hAnsi="宋体"/>
          <w:b/>
          <w:sz w:val="24"/>
        </w:rPr>
        <w:t>3、原有职工老龄化,外地人减少，后续人力储备不足</w:t>
      </w:r>
      <w:r>
        <w:rPr>
          <w:rFonts w:hint="eastAsia" w:ascii="宋体" w:hAnsi="宋体"/>
          <w:sz w:val="24"/>
        </w:rPr>
        <w:t>：联合铜业、驰耐特防腐科技、金盟织染等公司反映外来人口减少、企业原有职工逐渐老龄化，一线岗位劳动强度大，而年轻人又不愿意吃苦，导致一线员工缺口越来越大,招聘难度逐年增加；沙钢、信义、七洲、圣汇装备等企业均表示希望可以增加赴外招聘的渠道以及与职业院校合作的机会；</w:t>
      </w:r>
    </w:p>
    <w:p>
      <w:pPr>
        <w:spacing w:line="360" w:lineRule="auto"/>
        <w:rPr>
          <w:rFonts w:ascii="宋体" w:hAnsi="宋体"/>
          <w:sz w:val="24"/>
        </w:rPr>
      </w:pPr>
      <w:r>
        <w:rPr>
          <w:rFonts w:hint="eastAsia" w:ascii="宋体" w:hAnsi="宋体"/>
          <w:b/>
          <w:sz w:val="24"/>
        </w:rPr>
        <w:t>4、技术人才短缺</w:t>
      </w:r>
      <w:r>
        <w:rPr>
          <w:rFonts w:hint="eastAsia" w:ascii="宋体" w:hAnsi="宋体"/>
          <w:sz w:val="24"/>
        </w:rPr>
        <w:t>：港鹰实业、象屿、双鲸箱包、中环海陆高端装备、先锋自动化机械设备等公司都反映技术人员、工程师类的岗位招聘困难，专业化人才更倾向到大城市发展，光束汽车也表示本地研发技术人员聚集性不强，招聘困难较大；</w:t>
      </w:r>
    </w:p>
    <w:p>
      <w:pPr>
        <w:spacing w:line="360" w:lineRule="auto"/>
        <w:rPr>
          <w:rFonts w:ascii="宋体" w:hAnsi="宋体"/>
          <w:sz w:val="24"/>
        </w:rPr>
      </w:pPr>
      <w:r>
        <w:rPr>
          <w:rFonts w:hint="eastAsia" w:ascii="宋体" w:hAnsi="宋体"/>
          <w:b/>
          <w:sz w:val="24"/>
        </w:rPr>
        <w:t>5、求职者对薪资的心理预期与企业能给的待遇之间的差距</w:t>
      </w:r>
      <w:r>
        <w:rPr>
          <w:rFonts w:hint="eastAsia" w:ascii="宋体" w:hAnsi="宋体"/>
          <w:sz w:val="24"/>
        </w:rPr>
        <w:t>：张家港欣欣高纤股份有限公司反映原材料涨价，企业成本增加，利润减少，能给出的工资待遇与员工的心理预期有差距，也是招工困难的重要原因之一，光束汽车有限公司反映应届高校毕业生对薪资整体水平期望值高，企业提供的薪资福利待遇较难满足其要求；</w:t>
      </w:r>
    </w:p>
    <w:p>
      <w:pPr>
        <w:spacing w:line="360" w:lineRule="auto"/>
        <w:rPr>
          <w:rFonts w:ascii="宋体" w:hAnsi="宋体"/>
          <w:sz w:val="24"/>
        </w:rPr>
      </w:pPr>
      <w:r>
        <w:rPr>
          <w:rFonts w:hint="eastAsia" w:ascii="宋体" w:hAnsi="宋体"/>
          <w:b/>
          <w:sz w:val="24"/>
        </w:rPr>
        <w:t>6、越来越多的求职者更倾向于自由的管理模式</w:t>
      </w:r>
      <w:r>
        <w:rPr>
          <w:rFonts w:hint="eastAsia" w:ascii="宋体" w:hAnsi="宋体"/>
          <w:sz w:val="24"/>
        </w:rPr>
        <w:t>：张家港市嘉泰超纤科技有限公司反映人力资源公司的就业更加灵活，很多求职者更喜欢这个模式，不愿受企业固态化管理，企业面临与人力公司抢占资源。</w:t>
      </w:r>
    </w:p>
    <w:p>
      <w:pPr>
        <w:pStyle w:val="18"/>
        <w:numPr>
          <w:ilvl w:val="0"/>
          <w:numId w:val="1"/>
        </w:numPr>
        <w:spacing w:line="360" w:lineRule="auto"/>
        <w:ind w:firstLineChars="0"/>
        <w:rPr>
          <w:rFonts w:ascii="宋体" w:hAnsi="宋体"/>
          <w:b/>
          <w:sz w:val="24"/>
        </w:rPr>
      </w:pPr>
      <w:r>
        <w:rPr>
          <w:rFonts w:hint="eastAsia" w:ascii="宋体" w:hAnsi="宋体"/>
          <w:b/>
          <w:sz w:val="24"/>
        </w:rPr>
        <w:t>、针对以上情况，我市采取了积极的应对措施：</w:t>
      </w:r>
    </w:p>
    <w:p>
      <w:pPr>
        <w:adjustRightInd w:val="0"/>
        <w:snapToGrid w:val="0"/>
        <w:spacing w:line="360" w:lineRule="auto"/>
        <w:jc w:val="left"/>
        <w:rPr>
          <w:rFonts w:ascii="宋体" w:hAnsi="宋体"/>
          <w:sz w:val="24"/>
        </w:rPr>
      </w:pPr>
      <w:r>
        <w:rPr>
          <w:rFonts w:hint="eastAsia" w:ascii="宋体" w:hAnsi="宋体"/>
          <w:b/>
          <w:sz w:val="24"/>
        </w:rPr>
        <w:t>1、开展2022年张家港市促复工复产就业服务专项行动</w:t>
      </w:r>
      <w:r>
        <w:rPr>
          <w:rFonts w:hint="eastAsia" w:ascii="宋体" w:hAnsi="宋体"/>
          <w:sz w:val="24"/>
        </w:rPr>
        <w:t>：为统筹做好用工服务与毕业生就业工作，助力“保生产、稳就业”,我市于4月30日-5月30日在各高校就业网启动张家港促复工复产专题线上招聘会；组织我市12家企业面向苏州大学、江苏科技大学、常熟理工学院和常州大学怀德学院四所高校开展直播荐岗活动；组织信义光伏、奥斯佳、中车氢能、国泰华盛、第一人商场等十多家企业开展视频探岗活动，录制招聘短视频，通过“就在张家港”、“张家港市人才市场视频号”及各高校就业服务平台向毕业生推送。</w:t>
      </w:r>
    </w:p>
    <w:p>
      <w:pPr>
        <w:spacing w:line="360" w:lineRule="auto"/>
        <w:rPr>
          <w:rFonts w:ascii="宋体" w:hAnsi="宋体"/>
          <w:sz w:val="24"/>
        </w:rPr>
      </w:pPr>
      <w:r>
        <w:rPr>
          <w:rFonts w:hint="eastAsia" w:ascii="宋体" w:hAnsi="宋体"/>
          <w:b/>
          <w:sz w:val="24"/>
        </w:rPr>
        <w:t>2、“飞地”建立“双高”院校城市学院</w:t>
      </w:r>
      <w:r>
        <w:rPr>
          <w:rFonts w:hint="eastAsia" w:ascii="宋体" w:hAnsi="宋体"/>
          <w:sz w:val="24"/>
        </w:rPr>
        <w:t>：</w:t>
      </w:r>
      <w:r>
        <w:rPr>
          <w:rFonts w:hint="eastAsia" w:ascii="宋体" w:hAnsi="宋体"/>
          <w:b/>
          <w:sz w:val="24"/>
        </w:rPr>
        <w:t xml:space="preserve"> </w:t>
      </w:r>
      <w:r>
        <w:rPr>
          <w:rFonts w:hint="eastAsia" w:ascii="宋体" w:hAnsi="宋体"/>
          <w:sz w:val="24"/>
        </w:rPr>
        <w:t>6月18日，全省首家“双高”院校城市学院——江苏建筑职业技术学院张家港城市学院揭牌成立，张家港城市学院立足政府“飞地”，开拓人才引育新阵地。政府部门围绕产业紧缺、企业急需的应用型技能人才引育需求，外拓“人才飞地”，以城市冠名，建立以专业技术人才培养为主，科技成果转化、技术服务和实训为辅，产业技术研发和产业转型升级促进并行的城市学院。落脚企业“结亲”，开创校企合作新高地。本次学院建设引入企业共同参与。首批参与共建的12家企业行业涵盖汽车，冶金，机械，建筑，高端装备等多个领域，在人才培养上尽量多元化，在人才需求上避免同质化，同时满足企业小批量，个性化人才需求，携手建立技能人才培养新高地。促进学院“跨界”，开放职业教育新领地。将不同籍贯、年级、专业的学生“跨界”聚合，在学好原专业的基础上，进入张家港城市学院，全方位接受港城企业实习、奖学金、职业引导、岗位推荐等资源，实现人才培养、就业的“闭环”运作。</w:t>
      </w:r>
    </w:p>
    <w:p>
      <w:pPr>
        <w:spacing w:line="360" w:lineRule="auto"/>
        <w:rPr>
          <w:rFonts w:ascii="宋体" w:hAnsi="宋体"/>
          <w:sz w:val="24"/>
        </w:rPr>
      </w:pPr>
      <w:r>
        <w:rPr>
          <w:rFonts w:hint="eastAsia" w:ascii="宋体" w:hAnsi="宋体"/>
          <w:b/>
          <w:sz w:val="24"/>
        </w:rPr>
        <w:t>3、进一步提升劳动者职业技能水平，推进技能人才队伍建设</w:t>
      </w:r>
      <w:r>
        <w:rPr>
          <w:rFonts w:hint="eastAsia" w:ascii="宋体" w:hAnsi="宋体"/>
          <w:sz w:val="24"/>
        </w:rPr>
        <w:t>：我市6月21日启动“技能张家港行动”，举行港城企业技能工匠培育推进会，通过建设一批紧贴产业需求、区域特色鲜明的高技能人才培训基地、技能大师（首席）工作室，营造良好的技能人才成长环境；聚力张家港市“4+4”重点产业链，大规模开展高质量职业技能培训，发挥企业主题作用，推行培养和评价“双结合”、企业实训基地和院校培训基地“双基地”、企业导师和院校导师“双导师”的联合培养模式。我市还将依托上海技术优势和先进经验，联合开展新职业新技能职业技能培训、技能人才评价和职业技能竞赛工作，加强与张三角地区技能人才评价专家、质量督导人员业务交流，提升港城职业技能培养和认定水平。</w:t>
      </w:r>
    </w:p>
    <w:p>
      <w:pPr>
        <w:adjustRightInd w:val="0"/>
        <w:snapToGrid w:val="0"/>
        <w:spacing w:line="360" w:lineRule="auto"/>
        <w:jc w:val="left"/>
        <w:rPr>
          <w:color w:val="FF0000"/>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FF6225"/>
    <w:multiLevelType w:val="multilevel"/>
    <w:tmpl w:val="59FF6225"/>
    <w:lvl w:ilvl="0" w:tentative="0">
      <w:start w:val="3"/>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Y1ZjAzYWU0NjAyY2VhMjgzNGIyZTZhMTE0ZDRhMzcifQ=="/>
  </w:docVars>
  <w:rsids>
    <w:rsidRoot w:val="00F405B7"/>
    <w:rsid w:val="00006087"/>
    <w:rsid w:val="00012187"/>
    <w:rsid w:val="00013747"/>
    <w:rsid w:val="00016DE2"/>
    <w:rsid w:val="000227BC"/>
    <w:rsid w:val="0003728A"/>
    <w:rsid w:val="00043478"/>
    <w:rsid w:val="0004598D"/>
    <w:rsid w:val="000478D2"/>
    <w:rsid w:val="00050931"/>
    <w:rsid w:val="00050C5E"/>
    <w:rsid w:val="00055F6F"/>
    <w:rsid w:val="000567AE"/>
    <w:rsid w:val="000630B7"/>
    <w:rsid w:val="000664E1"/>
    <w:rsid w:val="00066803"/>
    <w:rsid w:val="000668D0"/>
    <w:rsid w:val="00066E64"/>
    <w:rsid w:val="000678B7"/>
    <w:rsid w:val="00072F3E"/>
    <w:rsid w:val="00073D32"/>
    <w:rsid w:val="000822DD"/>
    <w:rsid w:val="0008306D"/>
    <w:rsid w:val="00083974"/>
    <w:rsid w:val="00084B52"/>
    <w:rsid w:val="000855F8"/>
    <w:rsid w:val="000A071E"/>
    <w:rsid w:val="000A7056"/>
    <w:rsid w:val="000B13B0"/>
    <w:rsid w:val="000B1841"/>
    <w:rsid w:val="000B2CD7"/>
    <w:rsid w:val="000B4C20"/>
    <w:rsid w:val="000C5A43"/>
    <w:rsid w:val="000E0C58"/>
    <w:rsid w:val="000E3DFC"/>
    <w:rsid w:val="000F43F0"/>
    <w:rsid w:val="000F69C1"/>
    <w:rsid w:val="000F70AB"/>
    <w:rsid w:val="001104E1"/>
    <w:rsid w:val="00111C0D"/>
    <w:rsid w:val="001147B4"/>
    <w:rsid w:val="00117B68"/>
    <w:rsid w:val="001248F1"/>
    <w:rsid w:val="00125ACA"/>
    <w:rsid w:val="00125D19"/>
    <w:rsid w:val="001262CA"/>
    <w:rsid w:val="00140ECF"/>
    <w:rsid w:val="00142CEF"/>
    <w:rsid w:val="00147C96"/>
    <w:rsid w:val="00151CFC"/>
    <w:rsid w:val="001524CF"/>
    <w:rsid w:val="00154FC5"/>
    <w:rsid w:val="001601F0"/>
    <w:rsid w:val="001606F9"/>
    <w:rsid w:val="001613D2"/>
    <w:rsid w:val="001620C3"/>
    <w:rsid w:val="001700DA"/>
    <w:rsid w:val="00171ED5"/>
    <w:rsid w:val="00181C29"/>
    <w:rsid w:val="00181D8A"/>
    <w:rsid w:val="0018525A"/>
    <w:rsid w:val="001854EE"/>
    <w:rsid w:val="00195ECF"/>
    <w:rsid w:val="001A32CA"/>
    <w:rsid w:val="001A470E"/>
    <w:rsid w:val="001A4952"/>
    <w:rsid w:val="001A6273"/>
    <w:rsid w:val="001B037B"/>
    <w:rsid w:val="001B087F"/>
    <w:rsid w:val="001B09F5"/>
    <w:rsid w:val="001B2459"/>
    <w:rsid w:val="001B3FCA"/>
    <w:rsid w:val="001B5E81"/>
    <w:rsid w:val="001C08AC"/>
    <w:rsid w:val="001C1B7C"/>
    <w:rsid w:val="001C1C78"/>
    <w:rsid w:val="001C4DA6"/>
    <w:rsid w:val="001C7782"/>
    <w:rsid w:val="001D359B"/>
    <w:rsid w:val="001D3AEB"/>
    <w:rsid w:val="001D7844"/>
    <w:rsid w:val="001E019F"/>
    <w:rsid w:val="001E5F63"/>
    <w:rsid w:val="001F0B2B"/>
    <w:rsid w:val="001F37F6"/>
    <w:rsid w:val="001F4BA4"/>
    <w:rsid w:val="001F6B9D"/>
    <w:rsid w:val="0021663D"/>
    <w:rsid w:val="00217FFB"/>
    <w:rsid w:val="002206CB"/>
    <w:rsid w:val="0022349D"/>
    <w:rsid w:val="00224984"/>
    <w:rsid w:val="00230184"/>
    <w:rsid w:val="00232995"/>
    <w:rsid w:val="00233F65"/>
    <w:rsid w:val="002363AF"/>
    <w:rsid w:val="002413EA"/>
    <w:rsid w:val="00266D3C"/>
    <w:rsid w:val="002759FD"/>
    <w:rsid w:val="00293056"/>
    <w:rsid w:val="00295BC4"/>
    <w:rsid w:val="0029610A"/>
    <w:rsid w:val="002968C4"/>
    <w:rsid w:val="00296FFF"/>
    <w:rsid w:val="002A2CBC"/>
    <w:rsid w:val="002A46A5"/>
    <w:rsid w:val="002B0AC3"/>
    <w:rsid w:val="002B3B0B"/>
    <w:rsid w:val="002C0B62"/>
    <w:rsid w:val="002C0F56"/>
    <w:rsid w:val="002C2204"/>
    <w:rsid w:val="002C36BF"/>
    <w:rsid w:val="002C40BB"/>
    <w:rsid w:val="002C543B"/>
    <w:rsid w:val="002D1471"/>
    <w:rsid w:val="002E1C26"/>
    <w:rsid w:val="002E1E4B"/>
    <w:rsid w:val="002E5264"/>
    <w:rsid w:val="002F2362"/>
    <w:rsid w:val="00300F79"/>
    <w:rsid w:val="003057FE"/>
    <w:rsid w:val="00305C97"/>
    <w:rsid w:val="00310D90"/>
    <w:rsid w:val="00316750"/>
    <w:rsid w:val="00316E33"/>
    <w:rsid w:val="00317FED"/>
    <w:rsid w:val="00334013"/>
    <w:rsid w:val="0034498D"/>
    <w:rsid w:val="00350386"/>
    <w:rsid w:val="00350CC5"/>
    <w:rsid w:val="003525CF"/>
    <w:rsid w:val="0035797A"/>
    <w:rsid w:val="003602CB"/>
    <w:rsid w:val="00364886"/>
    <w:rsid w:val="00365C06"/>
    <w:rsid w:val="00365DBF"/>
    <w:rsid w:val="0037416C"/>
    <w:rsid w:val="0037682A"/>
    <w:rsid w:val="003862E5"/>
    <w:rsid w:val="00386B51"/>
    <w:rsid w:val="00394B67"/>
    <w:rsid w:val="00396420"/>
    <w:rsid w:val="00396CE4"/>
    <w:rsid w:val="0039793E"/>
    <w:rsid w:val="003A1016"/>
    <w:rsid w:val="003A435D"/>
    <w:rsid w:val="003A63E3"/>
    <w:rsid w:val="003B0A1E"/>
    <w:rsid w:val="003B10A9"/>
    <w:rsid w:val="003B7B9C"/>
    <w:rsid w:val="003B7C59"/>
    <w:rsid w:val="003C22B3"/>
    <w:rsid w:val="003C3F32"/>
    <w:rsid w:val="003C70E4"/>
    <w:rsid w:val="003C7F36"/>
    <w:rsid w:val="003D4FF9"/>
    <w:rsid w:val="003E0FF4"/>
    <w:rsid w:val="003E2392"/>
    <w:rsid w:val="003E344F"/>
    <w:rsid w:val="003E3E7C"/>
    <w:rsid w:val="003E5D81"/>
    <w:rsid w:val="003E5F19"/>
    <w:rsid w:val="003E6823"/>
    <w:rsid w:val="003F76BB"/>
    <w:rsid w:val="0041029E"/>
    <w:rsid w:val="00411CF6"/>
    <w:rsid w:val="004155AB"/>
    <w:rsid w:val="004157A4"/>
    <w:rsid w:val="00416CEF"/>
    <w:rsid w:val="004217C0"/>
    <w:rsid w:val="00426ABF"/>
    <w:rsid w:val="0043424C"/>
    <w:rsid w:val="00434793"/>
    <w:rsid w:val="00446431"/>
    <w:rsid w:val="00446789"/>
    <w:rsid w:val="0045156E"/>
    <w:rsid w:val="004552CE"/>
    <w:rsid w:val="00460EB2"/>
    <w:rsid w:val="00461C2F"/>
    <w:rsid w:val="0046297A"/>
    <w:rsid w:val="004649EF"/>
    <w:rsid w:val="004658E5"/>
    <w:rsid w:val="004662E8"/>
    <w:rsid w:val="004761E3"/>
    <w:rsid w:val="00480652"/>
    <w:rsid w:val="004831F4"/>
    <w:rsid w:val="0048372A"/>
    <w:rsid w:val="00484C8D"/>
    <w:rsid w:val="0049356E"/>
    <w:rsid w:val="00493D66"/>
    <w:rsid w:val="004B1FD8"/>
    <w:rsid w:val="004B56D2"/>
    <w:rsid w:val="004B7DC0"/>
    <w:rsid w:val="004C072B"/>
    <w:rsid w:val="004D1B76"/>
    <w:rsid w:val="004D2B33"/>
    <w:rsid w:val="004D3213"/>
    <w:rsid w:val="004D3255"/>
    <w:rsid w:val="004D771F"/>
    <w:rsid w:val="004D788A"/>
    <w:rsid w:val="004F2CF2"/>
    <w:rsid w:val="004F6D79"/>
    <w:rsid w:val="00501423"/>
    <w:rsid w:val="00505926"/>
    <w:rsid w:val="0050671D"/>
    <w:rsid w:val="00510977"/>
    <w:rsid w:val="00515F88"/>
    <w:rsid w:val="00532483"/>
    <w:rsid w:val="005327E0"/>
    <w:rsid w:val="005347B2"/>
    <w:rsid w:val="005375F8"/>
    <w:rsid w:val="0053791D"/>
    <w:rsid w:val="00542820"/>
    <w:rsid w:val="0054726A"/>
    <w:rsid w:val="0055092A"/>
    <w:rsid w:val="00555DBF"/>
    <w:rsid w:val="005561FC"/>
    <w:rsid w:val="005602AE"/>
    <w:rsid w:val="00560F9C"/>
    <w:rsid w:val="00567E9E"/>
    <w:rsid w:val="00572984"/>
    <w:rsid w:val="00572F2E"/>
    <w:rsid w:val="00574251"/>
    <w:rsid w:val="00576A8B"/>
    <w:rsid w:val="00577FFC"/>
    <w:rsid w:val="005849DD"/>
    <w:rsid w:val="005A19C5"/>
    <w:rsid w:val="005A63C8"/>
    <w:rsid w:val="005A68C0"/>
    <w:rsid w:val="005B45EE"/>
    <w:rsid w:val="005B48DB"/>
    <w:rsid w:val="005B58BD"/>
    <w:rsid w:val="005B6CD4"/>
    <w:rsid w:val="005E0DE4"/>
    <w:rsid w:val="005E1B00"/>
    <w:rsid w:val="005E33BF"/>
    <w:rsid w:val="005E3AEE"/>
    <w:rsid w:val="005E68FC"/>
    <w:rsid w:val="005E730F"/>
    <w:rsid w:val="005F03D4"/>
    <w:rsid w:val="005F3125"/>
    <w:rsid w:val="005F3491"/>
    <w:rsid w:val="005F4F7A"/>
    <w:rsid w:val="0060024B"/>
    <w:rsid w:val="00601A40"/>
    <w:rsid w:val="006029C7"/>
    <w:rsid w:val="00615568"/>
    <w:rsid w:val="00624F33"/>
    <w:rsid w:val="006338B7"/>
    <w:rsid w:val="006345B3"/>
    <w:rsid w:val="00635277"/>
    <w:rsid w:val="00636F84"/>
    <w:rsid w:val="0063720E"/>
    <w:rsid w:val="006529F2"/>
    <w:rsid w:val="00655D80"/>
    <w:rsid w:val="00657BBE"/>
    <w:rsid w:val="00660CD2"/>
    <w:rsid w:val="00660FCC"/>
    <w:rsid w:val="0066256E"/>
    <w:rsid w:val="0066299E"/>
    <w:rsid w:val="00663532"/>
    <w:rsid w:val="00663BC9"/>
    <w:rsid w:val="0066526C"/>
    <w:rsid w:val="0066534A"/>
    <w:rsid w:val="006732D8"/>
    <w:rsid w:val="0067391E"/>
    <w:rsid w:val="0068266E"/>
    <w:rsid w:val="00682C1A"/>
    <w:rsid w:val="00687CEA"/>
    <w:rsid w:val="006907AE"/>
    <w:rsid w:val="00690D78"/>
    <w:rsid w:val="006935F1"/>
    <w:rsid w:val="006A44D0"/>
    <w:rsid w:val="006B101D"/>
    <w:rsid w:val="006C0526"/>
    <w:rsid w:val="006C6E58"/>
    <w:rsid w:val="006D1DA3"/>
    <w:rsid w:val="006D1E52"/>
    <w:rsid w:val="006D5FD7"/>
    <w:rsid w:val="006D64DF"/>
    <w:rsid w:val="006D66BF"/>
    <w:rsid w:val="006D69D6"/>
    <w:rsid w:val="006D7F24"/>
    <w:rsid w:val="006E58D8"/>
    <w:rsid w:val="006E7CE7"/>
    <w:rsid w:val="006F4C5A"/>
    <w:rsid w:val="007050CC"/>
    <w:rsid w:val="00707CBE"/>
    <w:rsid w:val="0071237C"/>
    <w:rsid w:val="00721CA6"/>
    <w:rsid w:val="007308D9"/>
    <w:rsid w:val="0073093F"/>
    <w:rsid w:val="007337C5"/>
    <w:rsid w:val="00733888"/>
    <w:rsid w:val="007441F8"/>
    <w:rsid w:val="0075017F"/>
    <w:rsid w:val="00751689"/>
    <w:rsid w:val="007544E0"/>
    <w:rsid w:val="00754822"/>
    <w:rsid w:val="007626EE"/>
    <w:rsid w:val="00763B3C"/>
    <w:rsid w:val="00765DFE"/>
    <w:rsid w:val="00767F43"/>
    <w:rsid w:val="00771AA7"/>
    <w:rsid w:val="00773D0D"/>
    <w:rsid w:val="007817B4"/>
    <w:rsid w:val="00783799"/>
    <w:rsid w:val="00783EC3"/>
    <w:rsid w:val="007870FA"/>
    <w:rsid w:val="00787A20"/>
    <w:rsid w:val="00791068"/>
    <w:rsid w:val="0079257B"/>
    <w:rsid w:val="00792B24"/>
    <w:rsid w:val="00792B27"/>
    <w:rsid w:val="00792C22"/>
    <w:rsid w:val="00793D18"/>
    <w:rsid w:val="00794105"/>
    <w:rsid w:val="00794DFF"/>
    <w:rsid w:val="00796679"/>
    <w:rsid w:val="007A04E1"/>
    <w:rsid w:val="007A08B1"/>
    <w:rsid w:val="007A45F5"/>
    <w:rsid w:val="007A5F3C"/>
    <w:rsid w:val="007C2D56"/>
    <w:rsid w:val="007C3858"/>
    <w:rsid w:val="007C5652"/>
    <w:rsid w:val="007C683E"/>
    <w:rsid w:val="007C6B7A"/>
    <w:rsid w:val="007D5489"/>
    <w:rsid w:val="007D7010"/>
    <w:rsid w:val="007D7D7C"/>
    <w:rsid w:val="007E3461"/>
    <w:rsid w:val="007E4857"/>
    <w:rsid w:val="007E6AD5"/>
    <w:rsid w:val="007F0325"/>
    <w:rsid w:val="00800640"/>
    <w:rsid w:val="008020D2"/>
    <w:rsid w:val="00804439"/>
    <w:rsid w:val="00806020"/>
    <w:rsid w:val="00810D15"/>
    <w:rsid w:val="0081548D"/>
    <w:rsid w:val="008210BC"/>
    <w:rsid w:val="00823807"/>
    <w:rsid w:val="00831DD2"/>
    <w:rsid w:val="00831EBD"/>
    <w:rsid w:val="00832721"/>
    <w:rsid w:val="00835DF9"/>
    <w:rsid w:val="008418E0"/>
    <w:rsid w:val="0084463E"/>
    <w:rsid w:val="00845C43"/>
    <w:rsid w:val="00847A0F"/>
    <w:rsid w:val="008531A0"/>
    <w:rsid w:val="00861A84"/>
    <w:rsid w:val="00862308"/>
    <w:rsid w:val="00862B90"/>
    <w:rsid w:val="00862E72"/>
    <w:rsid w:val="00871605"/>
    <w:rsid w:val="00875A1D"/>
    <w:rsid w:val="008834A3"/>
    <w:rsid w:val="00884504"/>
    <w:rsid w:val="00886267"/>
    <w:rsid w:val="00891677"/>
    <w:rsid w:val="008A03FC"/>
    <w:rsid w:val="008B47A0"/>
    <w:rsid w:val="008B6931"/>
    <w:rsid w:val="008C345D"/>
    <w:rsid w:val="008C3B2B"/>
    <w:rsid w:val="008D0951"/>
    <w:rsid w:val="008D21D4"/>
    <w:rsid w:val="008D2C4D"/>
    <w:rsid w:val="008D4AEF"/>
    <w:rsid w:val="008E060A"/>
    <w:rsid w:val="008E63F3"/>
    <w:rsid w:val="008E769A"/>
    <w:rsid w:val="008F070C"/>
    <w:rsid w:val="008F326D"/>
    <w:rsid w:val="008F4441"/>
    <w:rsid w:val="009050B8"/>
    <w:rsid w:val="00907D3D"/>
    <w:rsid w:val="00915D9F"/>
    <w:rsid w:val="0091798E"/>
    <w:rsid w:val="009213D5"/>
    <w:rsid w:val="00921E26"/>
    <w:rsid w:val="00925555"/>
    <w:rsid w:val="00925B07"/>
    <w:rsid w:val="009266E7"/>
    <w:rsid w:val="009279F8"/>
    <w:rsid w:val="00931F21"/>
    <w:rsid w:val="009345E9"/>
    <w:rsid w:val="00935F12"/>
    <w:rsid w:val="00937F11"/>
    <w:rsid w:val="00946E5E"/>
    <w:rsid w:val="00953551"/>
    <w:rsid w:val="009544BB"/>
    <w:rsid w:val="00962ECA"/>
    <w:rsid w:val="00967D1D"/>
    <w:rsid w:val="00971C63"/>
    <w:rsid w:val="00974709"/>
    <w:rsid w:val="009927FE"/>
    <w:rsid w:val="00994803"/>
    <w:rsid w:val="00996CF9"/>
    <w:rsid w:val="009A72D9"/>
    <w:rsid w:val="009B6F09"/>
    <w:rsid w:val="009B79B9"/>
    <w:rsid w:val="009C0BA4"/>
    <w:rsid w:val="009C254E"/>
    <w:rsid w:val="009C46D4"/>
    <w:rsid w:val="009D30A0"/>
    <w:rsid w:val="009D4691"/>
    <w:rsid w:val="009D6100"/>
    <w:rsid w:val="009D7D3E"/>
    <w:rsid w:val="009E27FD"/>
    <w:rsid w:val="009E4357"/>
    <w:rsid w:val="009E4BA6"/>
    <w:rsid w:val="009E56DB"/>
    <w:rsid w:val="009E5C74"/>
    <w:rsid w:val="009E730A"/>
    <w:rsid w:val="009F0169"/>
    <w:rsid w:val="009F37EA"/>
    <w:rsid w:val="009F5413"/>
    <w:rsid w:val="009F5867"/>
    <w:rsid w:val="009F5A48"/>
    <w:rsid w:val="009F5BD4"/>
    <w:rsid w:val="009F78A4"/>
    <w:rsid w:val="00A05C3E"/>
    <w:rsid w:val="00A0654C"/>
    <w:rsid w:val="00A14F29"/>
    <w:rsid w:val="00A1672A"/>
    <w:rsid w:val="00A1758B"/>
    <w:rsid w:val="00A228CE"/>
    <w:rsid w:val="00A23620"/>
    <w:rsid w:val="00A27F20"/>
    <w:rsid w:val="00A30150"/>
    <w:rsid w:val="00A30A13"/>
    <w:rsid w:val="00A33CD7"/>
    <w:rsid w:val="00A34FFA"/>
    <w:rsid w:val="00A36AC2"/>
    <w:rsid w:val="00A3720C"/>
    <w:rsid w:val="00A61F72"/>
    <w:rsid w:val="00A63CB8"/>
    <w:rsid w:val="00A70EE8"/>
    <w:rsid w:val="00A72663"/>
    <w:rsid w:val="00A7395D"/>
    <w:rsid w:val="00A73A2F"/>
    <w:rsid w:val="00A81BCF"/>
    <w:rsid w:val="00A81DBE"/>
    <w:rsid w:val="00A83B87"/>
    <w:rsid w:val="00A859F4"/>
    <w:rsid w:val="00A85CD4"/>
    <w:rsid w:val="00A863BE"/>
    <w:rsid w:val="00A917F3"/>
    <w:rsid w:val="00A91F4B"/>
    <w:rsid w:val="00A92CB6"/>
    <w:rsid w:val="00A9336F"/>
    <w:rsid w:val="00A97718"/>
    <w:rsid w:val="00AA0A9E"/>
    <w:rsid w:val="00AA1BBA"/>
    <w:rsid w:val="00AA7153"/>
    <w:rsid w:val="00AB187F"/>
    <w:rsid w:val="00AB46FD"/>
    <w:rsid w:val="00AC1A63"/>
    <w:rsid w:val="00AC2E67"/>
    <w:rsid w:val="00AC6FE2"/>
    <w:rsid w:val="00AD1F99"/>
    <w:rsid w:val="00AE2B40"/>
    <w:rsid w:val="00AE3CCC"/>
    <w:rsid w:val="00AE46CF"/>
    <w:rsid w:val="00AF632A"/>
    <w:rsid w:val="00AF7802"/>
    <w:rsid w:val="00B018C2"/>
    <w:rsid w:val="00B02153"/>
    <w:rsid w:val="00B04B64"/>
    <w:rsid w:val="00B06D17"/>
    <w:rsid w:val="00B1537E"/>
    <w:rsid w:val="00B218B9"/>
    <w:rsid w:val="00B237B1"/>
    <w:rsid w:val="00B26ADC"/>
    <w:rsid w:val="00B279B2"/>
    <w:rsid w:val="00B27E4A"/>
    <w:rsid w:val="00B32132"/>
    <w:rsid w:val="00B33FAF"/>
    <w:rsid w:val="00B34543"/>
    <w:rsid w:val="00B35DFB"/>
    <w:rsid w:val="00B36E28"/>
    <w:rsid w:val="00B403CA"/>
    <w:rsid w:val="00B4081E"/>
    <w:rsid w:val="00B43410"/>
    <w:rsid w:val="00B45474"/>
    <w:rsid w:val="00B53306"/>
    <w:rsid w:val="00B53FA0"/>
    <w:rsid w:val="00B55690"/>
    <w:rsid w:val="00B6017D"/>
    <w:rsid w:val="00B63390"/>
    <w:rsid w:val="00B654DE"/>
    <w:rsid w:val="00B65530"/>
    <w:rsid w:val="00B72DAB"/>
    <w:rsid w:val="00B76220"/>
    <w:rsid w:val="00B80206"/>
    <w:rsid w:val="00B80CBC"/>
    <w:rsid w:val="00B811B1"/>
    <w:rsid w:val="00B81A9C"/>
    <w:rsid w:val="00B92685"/>
    <w:rsid w:val="00B96832"/>
    <w:rsid w:val="00BA2331"/>
    <w:rsid w:val="00BA2C24"/>
    <w:rsid w:val="00BA774D"/>
    <w:rsid w:val="00BB0A96"/>
    <w:rsid w:val="00BB218E"/>
    <w:rsid w:val="00BB461C"/>
    <w:rsid w:val="00BC61A3"/>
    <w:rsid w:val="00BC7068"/>
    <w:rsid w:val="00BC7209"/>
    <w:rsid w:val="00BD31F4"/>
    <w:rsid w:val="00BD5BAB"/>
    <w:rsid w:val="00BD5CE8"/>
    <w:rsid w:val="00BE0B03"/>
    <w:rsid w:val="00BE71B6"/>
    <w:rsid w:val="00C05E88"/>
    <w:rsid w:val="00C15CBE"/>
    <w:rsid w:val="00C212EA"/>
    <w:rsid w:val="00C2355A"/>
    <w:rsid w:val="00C2637E"/>
    <w:rsid w:val="00C276F7"/>
    <w:rsid w:val="00C3092F"/>
    <w:rsid w:val="00C312AB"/>
    <w:rsid w:val="00C32C85"/>
    <w:rsid w:val="00C3378E"/>
    <w:rsid w:val="00C433FC"/>
    <w:rsid w:val="00C4411B"/>
    <w:rsid w:val="00C4487F"/>
    <w:rsid w:val="00C462C5"/>
    <w:rsid w:val="00C540B9"/>
    <w:rsid w:val="00C6450D"/>
    <w:rsid w:val="00C662DD"/>
    <w:rsid w:val="00C70B3E"/>
    <w:rsid w:val="00C70DAE"/>
    <w:rsid w:val="00C70E09"/>
    <w:rsid w:val="00C70FD9"/>
    <w:rsid w:val="00C712FF"/>
    <w:rsid w:val="00C72294"/>
    <w:rsid w:val="00C7449F"/>
    <w:rsid w:val="00C74A6B"/>
    <w:rsid w:val="00C84F34"/>
    <w:rsid w:val="00C9088D"/>
    <w:rsid w:val="00C93E10"/>
    <w:rsid w:val="00CA3F5F"/>
    <w:rsid w:val="00CA57D1"/>
    <w:rsid w:val="00CA65EC"/>
    <w:rsid w:val="00CB026A"/>
    <w:rsid w:val="00CB4F17"/>
    <w:rsid w:val="00CB696E"/>
    <w:rsid w:val="00CC0C51"/>
    <w:rsid w:val="00CC1763"/>
    <w:rsid w:val="00CC6FAD"/>
    <w:rsid w:val="00CD699A"/>
    <w:rsid w:val="00CE6244"/>
    <w:rsid w:val="00CF04EC"/>
    <w:rsid w:val="00CF571E"/>
    <w:rsid w:val="00CF6009"/>
    <w:rsid w:val="00CF7040"/>
    <w:rsid w:val="00D00843"/>
    <w:rsid w:val="00D010A3"/>
    <w:rsid w:val="00D04F55"/>
    <w:rsid w:val="00D15DFC"/>
    <w:rsid w:val="00D17005"/>
    <w:rsid w:val="00D201F9"/>
    <w:rsid w:val="00D22C4E"/>
    <w:rsid w:val="00D23BB0"/>
    <w:rsid w:val="00D25ECF"/>
    <w:rsid w:val="00D26DF4"/>
    <w:rsid w:val="00D31854"/>
    <w:rsid w:val="00D31F7B"/>
    <w:rsid w:val="00D36DF7"/>
    <w:rsid w:val="00D40E79"/>
    <w:rsid w:val="00D476BC"/>
    <w:rsid w:val="00D5000C"/>
    <w:rsid w:val="00D562FA"/>
    <w:rsid w:val="00D5649E"/>
    <w:rsid w:val="00D61098"/>
    <w:rsid w:val="00D662E7"/>
    <w:rsid w:val="00D6764E"/>
    <w:rsid w:val="00D75549"/>
    <w:rsid w:val="00D75E14"/>
    <w:rsid w:val="00D8630A"/>
    <w:rsid w:val="00D90FAA"/>
    <w:rsid w:val="00D92B3C"/>
    <w:rsid w:val="00DA21EE"/>
    <w:rsid w:val="00DA3B3C"/>
    <w:rsid w:val="00DA68D5"/>
    <w:rsid w:val="00DB6E7B"/>
    <w:rsid w:val="00DC3B9A"/>
    <w:rsid w:val="00DC7EF5"/>
    <w:rsid w:val="00DD62DE"/>
    <w:rsid w:val="00DE062E"/>
    <w:rsid w:val="00DF20B1"/>
    <w:rsid w:val="00DF43A6"/>
    <w:rsid w:val="00DF4600"/>
    <w:rsid w:val="00DF6F42"/>
    <w:rsid w:val="00E07375"/>
    <w:rsid w:val="00E07749"/>
    <w:rsid w:val="00E11BBE"/>
    <w:rsid w:val="00E20F80"/>
    <w:rsid w:val="00E220D9"/>
    <w:rsid w:val="00E22847"/>
    <w:rsid w:val="00E24576"/>
    <w:rsid w:val="00E44341"/>
    <w:rsid w:val="00E447F7"/>
    <w:rsid w:val="00E47187"/>
    <w:rsid w:val="00E47311"/>
    <w:rsid w:val="00E52CAC"/>
    <w:rsid w:val="00E53D01"/>
    <w:rsid w:val="00E556B6"/>
    <w:rsid w:val="00E5579B"/>
    <w:rsid w:val="00E578EE"/>
    <w:rsid w:val="00E614A0"/>
    <w:rsid w:val="00E62C9E"/>
    <w:rsid w:val="00E701D7"/>
    <w:rsid w:val="00E769CE"/>
    <w:rsid w:val="00E85996"/>
    <w:rsid w:val="00E866B7"/>
    <w:rsid w:val="00E9539B"/>
    <w:rsid w:val="00E97EC2"/>
    <w:rsid w:val="00EA010D"/>
    <w:rsid w:val="00EA37AC"/>
    <w:rsid w:val="00EA5687"/>
    <w:rsid w:val="00EA59B1"/>
    <w:rsid w:val="00EA5D5F"/>
    <w:rsid w:val="00EA68EE"/>
    <w:rsid w:val="00EB15F4"/>
    <w:rsid w:val="00EC0AAF"/>
    <w:rsid w:val="00EC135C"/>
    <w:rsid w:val="00EC31B6"/>
    <w:rsid w:val="00EC61A7"/>
    <w:rsid w:val="00EC64D4"/>
    <w:rsid w:val="00EC7C66"/>
    <w:rsid w:val="00EE0FF5"/>
    <w:rsid w:val="00EE3BDA"/>
    <w:rsid w:val="00EE401A"/>
    <w:rsid w:val="00EE5E1F"/>
    <w:rsid w:val="00EF1CC5"/>
    <w:rsid w:val="00EF33A8"/>
    <w:rsid w:val="00EF3596"/>
    <w:rsid w:val="00EF4AEE"/>
    <w:rsid w:val="00EF4DA4"/>
    <w:rsid w:val="00EF718F"/>
    <w:rsid w:val="00F01B8F"/>
    <w:rsid w:val="00F05E09"/>
    <w:rsid w:val="00F07F4B"/>
    <w:rsid w:val="00F10138"/>
    <w:rsid w:val="00F12209"/>
    <w:rsid w:val="00F15A3B"/>
    <w:rsid w:val="00F1671E"/>
    <w:rsid w:val="00F20112"/>
    <w:rsid w:val="00F252E9"/>
    <w:rsid w:val="00F3745C"/>
    <w:rsid w:val="00F37EB2"/>
    <w:rsid w:val="00F37F6A"/>
    <w:rsid w:val="00F405B7"/>
    <w:rsid w:val="00F409B1"/>
    <w:rsid w:val="00F40A94"/>
    <w:rsid w:val="00F40AB4"/>
    <w:rsid w:val="00F42776"/>
    <w:rsid w:val="00F4737B"/>
    <w:rsid w:val="00F47F50"/>
    <w:rsid w:val="00F51704"/>
    <w:rsid w:val="00F5474D"/>
    <w:rsid w:val="00F54F9C"/>
    <w:rsid w:val="00F57C8A"/>
    <w:rsid w:val="00F659C7"/>
    <w:rsid w:val="00F70DA4"/>
    <w:rsid w:val="00F71DF6"/>
    <w:rsid w:val="00F74F58"/>
    <w:rsid w:val="00F750BE"/>
    <w:rsid w:val="00F77823"/>
    <w:rsid w:val="00F82995"/>
    <w:rsid w:val="00F860D4"/>
    <w:rsid w:val="00F9028C"/>
    <w:rsid w:val="00F91CCE"/>
    <w:rsid w:val="00F9235D"/>
    <w:rsid w:val="00F96D73"/>
    <w:rsid w:val="00F96E84"/>
    <w:rsid w:val="00F9739B"/>
    <w:rsid w:val="00FA7193"/>
    <w:rsid w:val="00FA7B4B"/>
    <w:rsid w:val="00FB3048"/>
    <w:rsid w:val="00FB5BE9"/>
    <w:rsid w:val="00FB6E23"/>
    <w:rsid w:val="00FB7EC7"/>
    <w:rsid w:val="00FC0692"/>
    <w:rsid w:val="00FC5A9D"/>
    <w:rsid w:val="00FD2ED4"/>
    <w:rsid w:val="00FD320D"/>
    <w:rsid w:val="00FD3F40"/>
    <w:rsid w:val="00FD67E6"/>
    <w:rsid w:val="00FE0A64"/>
    <w:rsid w:val="01276EE8"/>
    <w:rsid w:val="02600504"/>
    <w:rsid w:val="027A76EE"/>
    <w:rsid w:val="039447DF"/>
    <w:rsid w:val="06606BFB"/>
    <w:rsid w:val="080A1514"/>
    <w:rsid w:val="0BCD7620"/>
    <w:rsid w:val="0D133A1F"/>
    <w:rsid w:val="0E4F332A"/>
    <w:rsid w:val="0FBE0066"/>
    <w:rsid w:val="112F5B47"/>
    <w:rsid w:val="12E017EF"/>
    <w:rsid w:val="143040B0"/>
    <w:rsid w:val="165E1976"/>
    <w:rsid w:val="16D03928"/>
    <w:rsid w:val="17463BEB"/>
    <w:rsid w:val="18D92F68"/>
    <w:rsid w:val="1930537C"/>
    <w:rsid w:val="19E576EB"/>
    <w:rsid w:val="1A497C7A"/>
    <w:rsid w:val="1C2C1B1A"/>
    <w:rsid w:val="1CC17059"/>
    <w:rsid w:val="1D7315FE"/>
    <w:rsid w:val="1F18526B"/>
    <w:rsid w:val="1F4A60B4"/>
    <w:rsid w:val="23097FD3"/>
    <w:rsid w:val="248D2E59"/>
    <w:rsid w:val="25115838"/>
    <w:rsid w:val="25F5411A"/>
    <w:rsid w:val="275544FE"/>
    <w:rsid w:val="296B7D86"/>
    <w:rsid w:val="2A32072A"/>
    <w:rsid w:val="2ADF3CE2"/>
    <w:rsid w:val="2D4B38B1"/>
    <w:rsid w:val="2E7B1445"/>
    <w:rsid w:val="2F452CAE"/>
    <w:rsid w:val="2FF13BF2"/>
    <w:rsid w:val="325274FF"/>
    <w:rsid w:val="333C7DDE"/>
    <w:rsid w:val="34F21A21"/>
    <w:rsid w:val="353A4937"/>
    <w:rsid w:val="35D703D8"/>
    <w:rsid w:val="376037DD"/>
    <w:rsid w:val="3B114DF7"/>
    <w:rsid w:val="3D436353"/>
    <w:rsid w:val="3DD376D7"/>
    <w:rsid w:val="3ED9165E"/>
    <w:rsid w:val="40354679"/>
    <w:rsid w:val="413B1790"/>
    <w:rsid w:val="42482694"/>
    <w:rsid w:val="45A2455E"/>
    <w:rsid w:val="476B6BD2"/>
    <w:rsid w:val="48186781"/>
    <w:rsid w:val="49AF0FF8"/>
    <w:rsid w:val="4D0C050F"/>
    <w:rsid w:val="4D422183"/>
    <w:rsid w:val="4D460FB1"/>
    <w:rsid w:val="5229020B"/>
    <w:rsid w:val="52950FA7"/>
    <w:rsid w:val="564231F4"/>
    <w:rsid w:val="583A6878"/>
    <w:rsid w:val="594159E5"/>
    <w:rsid w:val="5D7B1CC1"/>
    <w:rsid w:val="5ED115B9"/>
    <w:rsid w:val="602E60BA"/>
    <w:rsid w:val="610E08A2"/>
    <w:rsid w:val="65D6012C"/>
    <w:rsid w:val="6612673F"/>
    <w:rsid w:val="674943E2"/>
    <w:rsid w:val="68CF4340"/>
    <w:rsid w:val="68DC4DE2"/>
    <w:rsid w:val="69CC12FA"/>
    <w:rsid w:val="69CE6E20"/>
    <w:rsid w:val="6BBD5ED0"/>
    <w:rsid w:val="6BBF6898"/>
    <w:rsid w:val="6BDA7CFF"/>
    <w:rsid w:val="6D0019E7"/>
    <w:rsid w:val="6E8842D7"/>
    <w:rsid w:val="6E9D553D"/>
    <w:rsid w:val="6F5C0A2B"/>
    <w:rsid w:val="728C7879"/>
    <w:rsid w:val="72DF209E"/>
    <w:rsid w:val="731A1328"/>
    <w:rsid w:val="734300DC"/>
    <w:rsid w:val="73BB0416"/>
    <w:rsid w:val="75241FEA"/>
    <w:rsid w:val="75FF0362"/>
    <w:rsid w:val="76AA32D9"/>
    <w:rsid w:val="77245B9A"/>
    <w:rsid w:val="79AE38A9"/>
    <w:rsid w:val="7C174657"/>
    <w:rsid w:val="7C7F3FAA"/>
    <w:rsid w:val="7D4B14A7"/>
    <w:rsid w:val="7D9577C3"/>
    <w:rsid w:val="7EE66563"/>
    <w:rsid w:val="7F1A3D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5"/>
    <w:semiHidden/>
    <w:qFormat/>
    <w:uiPriority w:val="0"/>
    <w:pPr>
      <w:shd w:val="clear" w:color="auto" w:fill="000080"/>
    </w:pPr>
  </w:style>
  <w:style w:type="paragraph" w:styleId="3">
    <w:name w:val="Balloon Text"/>
    <w:basedOn w:val="1"/>
    <w:link w:val="13"/>
    <w:semiHidden/>
    <w:unhideWhenUsed/>
    <w:qFormat/>
    <w:uiPriority w:val="0"/>
    <w:rPr>
      <w:sz w:val="18"/>
      <w:szCs w:val="18"/>
    </w:rPr>
  </w:style>
  <w:style w:type="paragraph" w:styleId="4">
    <w:name w:val="footer"/>
    <w:basedOn w:val="1"/>
    <w:link w:val="12"/>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1"/>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bCs/>
    </w:rPr>
  </w:style>
  <w:style w:type="character" w:styleId="10">
    <w:name w:val="page number"/>
    <w:basedOn w:val="8"/>
    <w:qFormat/>
    <w:uiPriority w:val="0"/>
  </w:style>
  <w:style w:type="character" w:customStyle="1" w:styleId="11">
    <w:name w:val="页眉 Char"/>
    <w:basedOn w:val="8"/>
    <w:link w:val="5"/>
    <w:qFormat/>
    <w:uiPriority w:val="0"/>
    <w:rPr>
      <w:sz w:val="18"/>
      <w:szCs w:val="18"/>
    </w:rPr>
  </w:style>
  <w:style w:type="character" w:customStyle="1" w:styleId="12">
    <w:name w:val="页脚 Char"/>
    <w:basedOn w:val="8"/>
    <w:link w:val="4"/>
    <w:semiHidden/>
    <w:qFormat/>
    <w:uiPriority w:val="99"/>
    <w:rPr>
      <w:sz w:val="18"/>
      <w:szCs w:val="18"/>
    </w:rPr>
  </w:style>
  <w:style w:type="character" w:customStyle="1" w:styleId="13">
    <w:name w:val="批注框文本 Char"/>
    <w:basedOn w:val="8"/>
    <w:link w:val="3"/>
    <w:semiHidden/>
    <w:qFormat/>
    <w:uiPriority w:val="99"/>
    <w:rPr>
      <w:rFonts w:ascii="Times New Roman" w:hAnsi="Times New Roman" w:eastAsia="宋体" w:cs="Times New Roman"/>
      <w:sz w:val="18"/>
      <w:szCs w:val="18"/>
    </w:rPr>
  </w:style>
  <w:style w:type="paragraph" w:customStyle="1" w:styleId="14">
    <w:name w:val="Char Char Char Char"/>
    <w:basedOn w:val="2"/>
    <w:qFormat/>
    <w:uiPriority w:val="0"/>
    <w:pPr>
      <w:widowControl/>
      <w:ind w:firstLine="454"/>
      <w:jc w:val="left"/>
    </w:pPr>
    <w:rPr>
      <w:rFonts w:ascii="Tahoma" w:hAnsi="Tahoma" w:cs="宋体"/>
      <w:kern w:val="0"/>
      <w:szCs w:val="20"/>
    </w:rPr>
  </w:style>
  <w:style w:type="character" w:customStyle="1" w:styleId="15">
    <w:name w:val="文档结构图 Char"/>
    <w:basedOn w:val="8"/>
    <w:link w:val="2"/>
    <w:semiHidden/>
    <w:qFormat/>
    <w:uiPriority w:val="0"/>
    <w:rPr>
      <w:rFonts w:ascii="Times New Roman" w:hAnsi="Times New Roman" w:eastAsia="宋体" w:cs="Times New Roman"/>
      <w:szCs w:val="24"/>
      <w:shd w:val="clear" w:color="auto" w:fill="000080"/>
    </w:rPr>
  </w:style>
  <w:style w:type="paragraph" w:customStyle="1" w:styleId="16">
    <w:name w:val="Char"/>
    <w:basedOn w:val="1"/>
    <w:qFormat/>
    <w:uiPriority w:val="0"/>
    <w:rPr>
      <w:rFonts w:ascii="Tahoma" w:hAnsi="Tahoma"/>
      <w:sz w:val="24"/>
      <w:szCs w:val="20"/>
    </w:rPr>
  </w:style>
  <w:style w:type="paragraph" w:customStyle="1" w:styleId="17">
    <w:name w:val="p0"/>
    <w:basedOn w:val="1"/>
    <w:qFormat/>
    <w:uiPriority w:val="0"/>
    <w:pPr>
      <w:widowControl/>
    </w:pPr>
    <w:rPr>
      <w:kern w:val="0"/>
      <w:szCs w:val="20"/>
    </w:rPr>
  </w:style>
  <w:style w:type="paragraph" w:styleId="1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2021年求人倍率</c:v>
                </c:pt>
              </c:strCache>
            </c:strRef>
          </c:tx>
          <c:dLbls>
            <c:delete val="1"/>
          </c:dLbls>
          <c:cat>
            <c:strRef>
              <c:f>Sheet1!$A$2:$A$7</c:f>
              <c:strCache>
                <c:ptCount val="6"/>
                <c:pt idx="0">
                  <c:v>一月</c:v>
                </c:pt>
                <c:pt idx="1">
                  <c:v>二月</c:v>
                </c:pt>
                <c:pt idx="2">
                  <c:v>三月</c:v>
                </c:pt>
                <c:pt idx="3">
                  <c:v>四月</c:v>
                </c:pt>
                <c:pt idx="4">
                  <c:v>五月</c:v>
                </c:pt>
                <c:pt idx="5">
                  <c:v>六月</c:v>
                </c:pt>
              </c:strCache>
            </c:strRef>
          </c:cat>
          <c:val>
            <c:numRef>
              <c:f>Sheet1!$B$2:$B$7</c:f>
              <c:numCache>
                <c:formatCode>General</c:formatCode>
                <c:ptCount val="6"/>
                <c:pt idx="0">
                  <c:v>1.27</c:v>
                </c:pt>
                <c:pt idx="1">
                  <c:v>1.25</c:v>
                </c:pt>
                <c:pt idx="2">
                  <c:v>1.24</c:v>
                </c:pt>
                <c:pt idx="3">
                  <c:v>1.23</c:v>
                </c:pt>
                <c:pt idx="4">
                  <c:v>1.21</c:v>
                </c:pt>
                <c:pt idx="5">
                  <c:v>1.2</c:v>
                </c:pt>
              </c:numCache>
            </c:numRef>
          </c:val>
          <c:smooth val="0"/>
        </c:ser>
        <c:ser>
          <c:idx val="1"/>
          <c:order val="1"/>
          <c:tx>
            <c:strRef>
              <c:f>Sheet1!$C$1</c:f>
              <c:strCache>
                <c:ptCount val="1"/>
                <c:pt idx="0">
                  <c:v>2022年求人倍率</c:v>
                </c:pt>
              </c:strCache>
            </c:strRef>
          </c:tx>
          <c:dLbls>
            <c:delete val="1"/>
          </c:dLbls>
          <c:cat>
            <c:strRef>
              <c:f>Sheet1!$A$2:$A$7</c:f>
              <c:strCache>
                <c:ptCount val="6"/>
                <c:pt idx="0">
                  <c:v>一月</c:v>
                </c:pt>
                <c:pt idx="1">
                  <c:v>二月</c:v>
                </c:pt>
                <c:pt idx="2">
                  <c:v>三月</c:v>
                </c:pt>
                <c:pt idx="3">
                  <c:v>四月</c:v>
                </c:pt>
                <c:pt idx="4">
                  <c:v>五月</c:v>
                </c:pt>
                <c:pt idx="5">
                  <c:v>六月</c:v>
                </c:pt>
              </c:strCache>
            </c:strRef>
          </c:cat>
          <c:val>
            <c:numRef>
              <c:f>Sheet1!$C$2:$C$7</c:f>
              <c:numCache>
                <c:formatCode>General</c:formatCode>
                <c:ptCount val="6"/>
                <c:pt idx="0">
                  <c:v>1.28</c:v>
                </c:pt>
                <c:pt idx="1">
                  <c:v>1.28</c:v>
                </c:pt>
                <c:pt idx="2">
                  <c:v>1.25</c:v>
                </c:pt>
                <c:pt idx="3">
                  <c:v>1.3</c:v>
                </c:pt>
                <c:pt idx="4">
                  <c:v>1.26</c:v>
                </c:pt>
                <c:pt idx="5">
                  <c:v>1.22</c:v>
                </c:pt>
              </c:numCache>
            </c:numRef>
          </c:val>
          <c:smooth val="0"/>
        </c:ser>
        <c:dLbls>
          <c:showLegendKey val="0"/>
          <c:showVal val="0"/>
          <c:showCatName val="0"/>
          <c:showSerName val="0"/>
          <c:showPercent val="0"/>
          <c:showBubbleSize val="0"/>
        </c:dLbls>
        <c:marker val="1"/>
        <c:smooth val="0"/>
        <c:axId val="435054464"/>
        <c:axId val="435056000"/>
      </c:lineChart>
      <c:catAx>
        <c:axId val="435054464"/>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35056000"/>
        <c:crosses val="autoZero"/>
        <c:auto val="1"/>
        <c:lblAlgn val="ctr"/>
        <c:lblOffset val="100"/>
        <c:noMultiLvlLbl val="0"/>
      </c:catAx>
      <c:valAx>
        <c:axId val="43505600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35054464"/>
        <c:crosses val="autoZero"/>
        <c:crossBetween val="between"/>
      </c:valAx>
    </c:plotArea>
    <c:legend>
      <c:legendPos val="r"/>
      <c:layout>
        <c:manualLayout>
          <c:xMode val="edge"/>
          <c:yMode val="edge"/>
          <c:x val="0.713723905723906"/>
          <c:y val="0.412642930503252"/>
          <c:w val="0.192"/>
          <c:h val="0.25683974285823"/>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E6635-2719-44DE-90CB-518FDD0638D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4722</Words>
  <Characters>6222</Characters>
  <Lines>50</Lines>
  <Paragraphs>14</Paragraphs>
  <TotalTime>145</TotalTime>
  <ScaleCrop>false</ScaleCrop>
  <LinksUpToDate>false</LinksUpToDate>
  <CharactersWithSpaces>6339</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2020-03-24T01:17:00Z</dcterms:created>
  <dc:creator>User</dc:creator>
  <cp:lastModifiedBy>Icemaples</cp:lastModifiedBy>
  <dcterms:modified xsi:type="dcterms:W3CDTF">2022-07-13T09:24:40Z</dcterms:modified>
  <cp:revision>883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9116CD7533B945E58E9DEF08054E1DBC</vt:lpwstr>
  </property>
</Properties>
</file>