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eastAsia="zh-CN"/>
        </w:rPr>
        <w:t>4</w:t>
      </w:r>
      <w:r>
        <w:rPr>
          <w:rFonts w:ascii="宋体" w:hAnsi="宋体"/>
          <w:b/>
          <w:sz w:val="44"/>
          <w:szCs w:val="44"/>
        </w:rPr>
        <w:t>年</w:t>
      </w:r>
      <w:r>
        <w:rPr>
          <w:rFonts w:hint="eastAsia" w:ascii="宋体" w:hAnsi="宋体"/>
          <w:b/>
          <w:sz w:val="44"/>
          <w:szCs w:val="44"/>
          <w:lang w:val="en-US" w:eastAsia="zh-CN"/>
        </w:rPr>
        <w:t>第一季度</w:t>
      </w:r>
      <w:r>
        <w:rPr>
          <w:rFonts w:hint="eastAsia" w:ascii="宋体" w:hAnsi="宋体"/>
          <w:b/>
          <w:sz w:val="44"/>
          <w:szCs w:val="44"/>
        </w:rPr>
        <w:t>张家港市人力资源</w:t>
      </w:r>
    </w:p>
    <w:p>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cs="宋体"/>
          <w:b/>
          <w:bCs/>
          <w:kern w:val="0"/>
          <w:sz w:val="24"/>
        </w:rPr>
      </w:pPr>
      <w:r>
        <w:rPr>
          <w:rFonts w:hint="eastAsia" w:ascii="宋体" w:hAnsi="宋体" w:cs="宋体"/>
          <w:b/>
          <w:bCs/>
          <w:kern w:val="0"/>
          <w:sz w:val="24"/>
        </w:rPr>
        <w:t>一、人力资源市场总体数据概况</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第一季度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57988</w:t>
      </w:r>
      <w:r>
        <w:rPr>
          <w:rFonts w:hint="eastAsia" w:ascii="宋体" w:hAnsi="宋体" w:cs="宋体"/>
          <w:kern w:val="0"/>
          <w:sz w:val="24"/>
        </w:rPr>
        <w:t>个次，求职者</w:t>
      </w:r>
      <w:r>
        <w:rPr>
          <w:rFonts w:hint="eastAsia" w:ascii="宋体" w:hAnsi="宋体" w:cs="宋体"/>
          <w:kern w:val="0"/>
          <w:sz w:val="24"/>
          <w:lang w:val="en-US" w:eastAsia="zh-CN"/>
        </w:rPr>
        <w:t>47546</w:t>
      </w:r>
      <w:r>
        <w:rPr>
          <w:rFonts w:hint="eastAsia" w:ascii="宋体" w:hAnsi="宋体" w:cs="宋体"/>
          <w:kern w:val="0"/>
          <w:sz w:val="24"/>
        </w:rPr>
        <w:t>人次，求人倍率为1.2</w:t>
      </w:r>
      <w:r>
        <w:rPr>
          <w:rFonts w:hint="eastAsia" w:ascii="宋体" w:hAnsi="宋体" w:cs="宋体"/>
          <w:kern w:val="0"/>
          <w:sz w:val="24"/>
          <w:lang w:val="en-US" w:eastAsia="zh-CN"/>
        </w:rPr>
        <w:t>2</w:t>
      </w:r>
      <w:r>
        <w:rPr>
          <w:rFonts w:hint="eastAsia" w:ascii="宋体" w:hAnsi="宋体" w:cs="宋体"/>
          <w:kern w:val="0"/>
          <w:sz w:val="24"/>
        </w:rPr>
        <w:t>，求人倍率较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3</w:t>
      </w:r>
      <w:r>
        <w:rPr>
          <w:rFonts w:hint="eastAsia" w:ascii="宋体" w:hAnsi="宋体" w:cs="宋体"/>
          <w:kern w:val="0"/>
          <w:sz w:val="24"/>
        </w:rPr>
        <w:t>年同期</w:t>
      </w:r>
      <w:r>
        <w:rPr>
          <w:rFonts w:hint="eastAsia" w:ascii="宋体" w:hAnsi="宋体" w:cs="宋体"/>
          <w:kern w:val="0"/>
          <w:sz w:val="24"/>
          <w:lang w:val="en-US" w:eastAsia="zh-CN"/>
        </w:rPr>
        <w:t>略有提升</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b/>
          <w:sz w:val="24"/>
        </w:rPr>
      </w:pPr>
      <w:r>
        <w:rPr>
          <w:rFonts w:hint="eastAsia" w:ascii="宋体" w:hAnsi="宋体"/>
          <w:b/>
          <w:sz w:val="24"/>
        </w:rPr>
        <w:t>二</w:t>
      </w:r>
      <w:r>
        <w:rPr>
          <w:rFonts w:ascii="宋体" w:hAnsi="宋体"/>
          <w:b/>
          <w:sz w:val="24"/>
        </w:rPr>
        <w:t>、供求总体情况</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cs="宋体"/>
          <w:b/>
          <w:kern w:val="0"/>
          <w:sz w:val="24"/>
        </w:rPr>
      </w:pPr>
      <w:r>
        <w:rPr>
          <w:rFonts w:hint="eastAsia" w:ascii="宋体" w:hAnsi="宋体" w:cs="宋体"/>
          <w:b/>
          <w:kern w:val="0"/>
          <w:sz w:val="24"/>
        </w:rPr>
        <w:t>（一）供求总体状况</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color w:val="FF0000"/>
          <w:kern w:val="0"/>
          <w:sz w:val="24"/>
        </w:rPr>
      </w:pPr>
      <w:r>
        <w:rPr>
          <w:rFonts w:hint="eastAsia" w:ascii="宋体" w:hAnsi="宋体" w:cs="宋体"/>
          <w:kern w:val="0"/>
          <w:sz w:val="24"/>
          <w:lang w:val="en-US" w:eastAsia="zh-CN"/>
        </w:rPr>
        <w:t>今年第一季度需</w:t>
      </w:r>
      <w:r>
        <w:rPr>
          <w:rFonts w:hint="eastAsia" w:ascii="宋体" w:hAnsi="宋体" w:cs="宋体"/>
          <w:kern w:val="0"/>
          <w:sz w:val="24"/>
        </w:rPr>
        <w:t>求人数</w:t>
      </w:r>
      <w:r>
        <w:rPr>
          <w:rFonts w:hint="eastAsia" w:ascii="宋体" w:hAnsi="宋体" w:cs="宋体"/>
          <w:kern w:val="0"/>
          <w:sz w:val="24"/>
          <w:lang w:val="en-US" w:eastAsia="zh-CN"/>
        </w:rPr>
        <w:t>57988</w:t>
      </w:r>
      <w:r>
        <w:rPr>
          <w:rFonts w:hint="eastAsia" w:ascii="宋体" w:hAnsi="宋体" w:cs="宋体"/>
          <w:kern w:val="0"/>
          <w:sz w:val="24"/>
        </w:rPr>
        <w:t>人，与去年同期相比</w:t>
      </w:r>
      <w:r>
        <w:rPr>
          <w:rFonts w:hint="eastAsia" w:ascii="宋体" w:hAnsi="宋体" w:cs="宋体"/>
          <w:kern w:val="0"/>
          <w:sz w:val="24"/>
          <w:lang w:val="en-US" w:eastAsia="zh-CN"/>
        </w:rPr>
        <w:t>增加5917</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11.4</w:t>
      </w:r>
      <w:r>
        <w:rPr>
          <w:rFonts w:hint="eastAsia" w:ascii="宋体" w:hAnsi="宋体" w:cs="宋体"/>
          <w:kern w:val="0"/>
          <w:sz w:val="24"/>
        </w:rPr>
        <w:t>%。求职人数为</w:t>
      </w:r>
      <w:r>
        <w:rPr>
          <w:rFonts w:hint="eastAsia" w:ascii="宋体" w:hAnsi="宋体" w:cs="宋体"/>
          <w:kern w:val="0"/>
          <w:sz w:val="24"/>
          <w:lang w:val="en-US" w:eastAsia="zh-CN"/>
        </w:rPr>
        <w:t>47546</w:t>
      </w:r>
      <w:r>
        <w:rPr>
          <w:rFonts w:hint="eastAsia" w:ascii="宋体" w:hAnsi="宋体" w:cs="宋体"/>
          <w:kern w:val="0"/>
          <w:sz w:val="24"/>
        </w:rPr>
        <w:t>人，与去年同期相比</w:t>
      </w:r>
      <w:r>
        <w:rPr>
          <w:rFonts w:hint="eastAsia" w:ascii="宋体" w:hAnsi="宋体" w:cs="宋体"/>
          <w:kern w:val="0"/>
          <w:sz w:val="24"/>
          <w:lang w:val="en-US" w:eastAsia="zh-CN"/>
        </w:rPr>
        <w:t>增加4610</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10.7</w:t>
      </w:r>
      <w:r>
        <w:rPr>
          <w:rFonts w:hint="eastAsia" w:ascii="宋体" w:hAnsi="宋体" w:cs="宋体"/>
          <w:kern w:val="0"/>
          <w:sz w:val="24"/>
        </w:rPr>
        <w:t>%。</w:t>
      </w: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求人倍率</w:t>
            </w:r>
          </w:p>
        </w:tc>
      </w:tr>
      <w:tr>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57988</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47546</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1.22 </w:t>
            </w:r>
          </w:p>
        </w:tc>
      </w:tr>
    </w:tbl>
    <w:p>
      <w:pPr>
        <w:adjustRightInd w:val="0"/>
        <w:snapToGrid w:val="0"/>
        <w:spacing w:line="360" w:lineRule="auto"/>
        <w:rPr>
          <w:rFonts w:hint="eastAsia" w:ascii="宋体" w:hAnsi="宋体"/>
          <w:b/>
          <w:sz w:val="24"/>
        </w:rPr>
      </w:pP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今年第一季度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33721</w:t>
      </w:r>
      <w:r>
        <w:rPr>
          <w:rFonts w:hint="eastAsia" w:ascii="宋体" w:hAnsi="宋体" w:cs="宋体"/>
          <w:kern w:val="0"/>
          <w:sz w:val="24"/>
        </w:rPr>
        <w:t>人，占总需求的</w:t>
      </w:r>
      <w:r>
        <w:rPr>
          <w:rFonts w:hint="eastAsia" w:ascii="宋体" w:hAnsi="宋体" w:cs="宋体"/>
          <w:kern w:val="0"/>
          <w:sz w:val="24"/>
          <w:lang w:val="en-US" w:eastAsia="zh-CN"/>
        </w:rPr>
        <w:t>58.15</w:t>
      </w:r>
      <w:r>
        <w:rPr>
          <w:rFonts w:hint="eastAsia" w:ascii="宋体" w:hAnsi="宋体" w:cs="宋体"/>
          <w:kern w:val="0"/>
          <w:sz w:val="24"/>
        </w:rPr>
        <w:t>%，第三产业</w:t>
      </w:r>
      <w:r>
        <w:rPr>
          <w:rFonts w:hint="eastAsia" w:ascii="宋体" w:hAnsi="宋体" w:cs="宋体"/>
          <w:kern w:val="0"/>
          <w:sz w:val="24"/>
          <w:lang w:val="en-US" w:eastAsia="zh-CN"/>
        </w:rPr>
        <w:t>第一季度</w:t>
      </w:r>
      <w:r>
        <w:rPr>
          <w:rFonts w:hint="eastAsia" w:ascii="宋体" w:hAnsi="宋体" w:cs="宋体"/>
          <w:kern w:val="0"/>
          <w:sz w:val="24"/>
        </w:rPr>
        <w:t>需求数为</w:t>
      </w:r>
      <w:r>
        <w:rPr>
          <w:rFonts w:hint="eastAsia" w:ascii="宋体" w:hAnsi="宋体" w:cs="宋体"/>
          <w:kern w:val="0"/>
          <w:sz w:val="24"/>
          <w:lang w:val="en-US" w:eastAsia="zh-CN"/>
        </w:rPr>
        <w:t>24267</w:t>
      </w:r>
      <w:r>
        <w:rPr>
          <w:rFonts w:hint="eastAsia" w:ascii="宋体" w:hAnsi="宋体" w:cs="宋体"/>
          <w:kern w:val="0"/>
          <w:sz w:val="24"/>
        </w:rPr>
        <w:t>人，占总需求的</w:t>
      </w:r>
      <w:r>
        <w:rPr>
          <w:rFonts w:hint="eastAsia" w:ascii="宋体" w:hAnsi="宋体" w:cs="宋体"/>
          <w:kern w:val="0"/>
          <w:sz w:val="24"/>
          <w:lang w:val="en-US" w:eastAsia="zh-CN"/>
        </w:rPr>
        <w:t>41.85</w:t>
      </w:r>
      <w:r>
        <w:rPr>
          <w:rFonts w:hint="eastAsia" w:ascii="宋体" w:hAnsi="宋体" w:cs="宋体"/>
          <w:kern w:val="0"/>
          <w:sz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 xml:space="preserve">0 </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33721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58.15%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24267</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41.85%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57988</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bl>
    <w:p>
      <w:pPr>
        <w:adjustRightInd w:val="0"/>
        <w:snapToGrid w:val="0"/>
        <w:spacing w:line="360" w:lineRule="auto"/>
        <w:rPr>
          <w:rFonts w:ascii="宋体" w:hAnsi="宋体"/>
          <w:color w:val="FF0000"/>
          <w:sz w:val="24"/>
        </w:rPr>
      </w:pPr>
      <w:r>
        <w:rPr>
          <w:rFonts w:hint="eastAsia" w:ascii="宋体" w:hAnsi="宋体"/>
          <w:color w:val="FF0000"/>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第一季度</w:t>
      </w:r>
      <w:r>
        <w:rPr>
          <w:rFonts w:hint="eastAsia" w:ascii="宋体" w:hAnsi="宋体"/>
          <w:sz w:val="24"/>
          <w:lang w:val="en-US" w:eastAsia="zh-CN"/>
        </w:rPr>
        <w:t>55.42</w:t>
      </w:r>
      <w:r>
        <w:rPr>
          <w:rFonts w:hint="eastAsia" w:ascii="宋体" w:hAnsi="宋体"/>
          <w:sz w:val="24"/>
        </w:rPr>
        <w:t>%的用人需求集中在制造业，其次为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14.04</w:t>
      </w:r>
      <w:r>
        <w:rPr>
          <w:rFonts w:hint="eastAsia" w:ascii="宋体" w:hAnsi="宋体"/>
          <w:sz w:val="24"/>
        </w:rPr>
        <w:t>%，再次为</w:t>
      </w:r>
      <w:r>
        <w:rPr>
          <w:rFonts w:hint="eastAsia" w:ascii="宋体" w:hAnsi="宋体" w:cs="宋体"/>
          <w:kern w:val="0"/>
          <w:sz w:val="24"/>
          <w:lang w:val="en-US" w:eastAsia="zh-CN"/>
        </w:rPr>
        <w:t>信息传输、计算机服务和软件业</w:t>
      </w:r>
      <w:r>
        <w:rPr>
          <w:rFonts w:hint="eastAsia" w:ascii="宋体" w:hAnsi="宋体"/>
          <w:sz w:val="24"/>
        </w:rPr>
        <w:t>，占总需求的</w:t>
      </w:r>
      <w:r>
        <w:rPr>
          <w:rFonts w:hint="eastAsia" w:ascii="宋体" w:hAnsi="宋体"/>
          <w:sz w:val="24"/>
          <w:lang w:val="en-US" w:eastAsia="zh-CN"/>
        </w:rPr>
        <w:t>8.96</w:t>
      </w:r>
      <w:r>
        <w:rPr>
          <w:rFonts w:hint="eastAsia" w:ascii="宋体" w:hAnsi="宋体"/>
          <w:sz w:val="24"/>
        </w:rPr>
        <w:t>%。</w:t>
      </w:r>
    </w:p>
    <w:p>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32136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55.42%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716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1.23%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1585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2.73%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1516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2.61%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5198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8.96%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8143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14.04%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2886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4.98%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341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270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304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196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270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3481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6.00%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206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240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244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256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57988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100.00%</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第一季度</w:t>
      </w:r>
      <w:r>
        <w:rPr>
          <w:rFonts w:hint="eastAsia" w:ascii="宋体" w:hAnsi="Verdana" w:cs="宋体"/>
          <w:kern w:val="0"/>
          <w:sz w:val="24"/>
        </w:rPr>
        <w:t>企业需求人数为</w:t>
      </w:r>
      <w:r>
        <w:rPr>
          <w:rFonts w:hint="eastAsia" w:ascii="宋体" w:hAnsi="Verdana" w:cs="宋体"/>
          <w:kern w:val="0"/>
          <w:sz w:val="24"/>
          <w:lang w:val="en-US" w:eastAsia="zh-CN"/>
        </w:rPr>
        <w:t>57803</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51029</w:t>
      </w:r>
      <w:r>
        <w:rPr>
          <w:rFonts w:hint="eastAsia" w:ascii="宋体" w:hAnsi="Verdana" w:cs="宋体"/>
          <w:kern w:val="0"/>
          <w:sz w:val="24"/>
        </w:rPr>
        <w:t>人，占企业总数的</w:t>
      </w:r>
      <w:r>
        <w:rPr>
          <w:rFonts w:hint="eastAsia" w:ascii="宋体" w:hAnsi="Verdana" w:cs="宋体"/>
          <w:kern w:val="0"/>
          <w:sz w:val="24"/>
          <w:lang w:val="en-US" w:eastAsia="zh-CN"/>
        </w:rPr>
        <w:t>88.00</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hint="eastAsia" w:eastAsia="宋体"/>
                <w:sz w:val="24"/>
                <w:lang w:eastAsia="zh-CN"/>
              </w:rPr>
            </w:pPr>
            <w:r>
              <w:rPr>
                <w:rFonts w:hint="eastAsia"/>
                <w:sz w:val="24"/>
                <w:lang w:eastAsia="zh-CN"/>
              </w:rPr>
              <w:t>第一季度</w:t>
            </w:r>
          </w:p>
          <w:p>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 w:val="24"/>
              </w:rPr>
            </w:pPr>
            <w:r>
              <w:rPr>
                <w:rFonts w:hint="eastAsia"/>
                <w:sz w:val="24"/>
                <w:lang w:eastAsia="zh-CN"/>
              </w:rPr>
              <w:t>第一季度</w:t>
            </w:r>
            <w:r>
              <w:rPr>
                <w:rFonts w:hint="eastAsia"/>
                <w:sz w:val="24"/>
              </w:rPr>
              <w:t>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57803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99.68%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51029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88.00%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1273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2.20%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416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0.72%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5315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9.17%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729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1.26%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22309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38.47%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10659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18.38%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4849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8.36%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5479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9.45%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2607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4.50%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1146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1.98%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3021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5.21%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185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0.32%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57988</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100.00%</w:t>
            </w:r>
          </w:p>
        </w:tc>
      </w:tr>
    </w:tbl>
    <w:p>
      <w:pPr>
        <w:adjustRightInd w:val="0"/>
        <w:snapToGrid w:val="0"/>
        <w:spacing w:line="360" w:lineRule="auto"/>
        <w:ind w:firstLine="480" w:firstLineChars="200"/>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pPr>
        <w:adjustRightInd w:val="0"/>
        <w:snapToGrid w:val="0"/>
        <w:spacing w:line="360" w:lineRule="auto"/>
        <w:jc w:val="center"/>
        <w:rPr>
          <w:rFonts w:ascii="宋体" w:hAnsi="宋体"/>
          <w:sz w:val="24"/>
        </w:rPr>
      </w:pPr>
      <w:r>
        <w:rPr>
          <w:rFonts w:hint="eastAsia" w:ascii="宋体" w:hAnsi="宋体"/>
          <w:sz w:val="24"/>
        </w:rPr>
        <w:t>表5.</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2055"/>
        <w:gridCol w:w="936"/>
        <w:gridCol w:w="986"/>
        <w:gridCol w:w="936"/>
        <w:gridCol w:w="987"/>
        <w:gridCol w:w="1033"/>
      </w:tblGrid>
      <w:tr>
        <w:tblPrEx>
          <w:tblCellMar>
            <w:top w:w="0" w:type="dxa"/>
            <w:left w:w="0" w:type="dxa"/>
            <w:bottom w:w="0" w:type="dxa"/>
            <w:right w:w="0" w:type="dxa"/>
          </w:tblCellMar>
        </w:tblPrEx>
        <w:trPr>
          <w:cantSplit/>
          <w:trHeight w:val="397" w:hRule="atLeast"/>
          <w:jc w:val="center"/>
        </w:trPr>
        <w:tc>
          <w:tcPr>
            <w:tcW w:w="20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878"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tblPrEx>
          <w:tblCellMar>
            <w:top w:w="0" w:type="dxa"/>
            <w:left w:w="0" w:type="dxa"/>
            <w:bottom w:w="0" w:type="dxa"/>
            <w:right w:w="0" w:type="dxa"/>
          </w:tblCellMar>
        </w:tblPrEx>
        <w:trPr>
          <w:cantSplit/>
          <w:trHeight w:val="397" w:hRule="atLeast"/>
          <w:jc w:val="center"/>
        </w:trPr>
        <w:tc>
          <w:tcPr>
            <w:tcW w:w="205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98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98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求人倍率</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216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0.35%</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1.29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6719</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11.59%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5528</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11.63%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1.22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4130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7.12%</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3184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1.30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9386</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16.19%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7199</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15.14%</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1.30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33707</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58.13%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28112</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59.13%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1.20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3830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3355</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7.06%</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1.14 </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57988</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47546</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1.22 </w:t>
            </w:r>
          </w:p>
        </w:tc>
      </w:tr>
    </w:tbl>
    <w:p>
      <w:pPr>
        <w:adjustRightInd w:val="0"/>
        <w:snapToGrid w:val="0"/>
        <w:spacing w:line="360" w:lineRule="auto"/>
        <w:jc w:val="center"/>
        <w:rPr>
          <w:rFonts w:ascii="宋体" w:hAnsi="宋体"/>
          <w:color w:val="FF0000"/>
          <w:sz w:val="24"/>
        </w:rPr>
      </w:pPr>
    </w:p>
    <w:tbl>
      <w:tblPr>
        <w:tblStyle w:val="8"/>
        <w:tblW w:w="9109" w:type="dxa"/>
        <w:tblInd w:w="93" w:type="dxa"/>
        <w:tblLayout w:type="fixed"/>
        <w:tblCellMar>
          <w:top w:w="0" w:type="dxa"/>
          <w:left w:w="108" w:type="dxa"/>
          <w:bottom w:w="0" w:type="dxa"/>
          <w:right w:w="108" w:type="dxa"/>
        </w:tblCellMar>
      </w:tblPr>
      <w:tblGrid>
        <w:gridCol w:w="9109"/>
      </w:tblGrid>
      <w:tr>
        <w:tblPrEx>
          <w:tblCellMar>
            <w:top w:w="0" w:type="dxa"/>
            <w:left w:w="108" w:type="dxa"/>
            <w:bottom w:w="0" w:type="dxa"/>
            <w:right w:w="108" w:type="dxa"/>
          </w:tblCellMar>
        </w:tblPrEx>
        <w:trPr>
          <w:trHeight w:val="1212" w:hRule="atLeast"/>
        </w:trPr>
        <w:tc>
          <w:tcPr>
            <w:tcW w:w="9109"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 w:val="24"/>
              </w:rPr>
            </w:pPr>
            <w:r>
              <w:rPr>
                <w:rFonts w:hint="eastAsia" w:ascii="宋体" w:hAnsi="宋体"/>
                <w:sz w:val="24"/>
              </w:rPr>
              <w:t>表6</w:t>
            </w:r>
            <w:r>
              <w:rPr>
                <w:rFonts w:hint="eastAsia" w:ascii="宋体" w:hAnsi="宋体"/>
                <w:sz w:val="24"/>
                <w:lang w:val="en-US" w:eastAsia="zh-CN"/>
              </w:rPr>
              <w:t>.</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tblPrEx>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1209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672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1.80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6-31-05-00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1077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477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1.80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1125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666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1.69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nil"/>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975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444</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1.84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339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1.60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电工</w:t>
                  </w:r>
                </w:p>
              </w:tc>
              <w:tc>
                <w:tcPr>
                  <w:tcW w:w="1494" w:type="dxa"/>
                  <w:tcBorders>
                    <w:top w:val="nil"/>
                    <w:left w:val="nil"/>
                    <w:bottom w:val="nil"/>
                    <w:right w:val="nil"/>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6-31-01-03</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417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1.72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安全员</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6-31-06-00</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594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1.83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915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702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1.30 </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机修钳工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171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1.37 </w:t>
                  </w:r>
                </w:p>
              </w:tc>
            </w:tr>
            <w:tr>
              <w:tblPrEx>
                <w:shd w:val="clear" w:color="auto" w:fill="DAEEF3" w:themeFill="accent5" w:themeFillTint="33"/>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660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543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1.22 </w:t>
                  </w:r>
                </w:p>
              </w:tc>
            </w:tr>
          </w:tbl>
          <w:p>
            <w:pPr>
              <w:widowControl/>
              <w:spacing w:line="360" w:lineRule="auto"/>
              <w:ind w:right="252" w:rightChars="120"/>
              <w:jc w:val="center"/>
              <w:rPr>
                <w:rFonts w:ascii="宋体" w:hAnsi="宋体"/>
                <w:color w:val="FF0000"/>
                <w:sz w:val="24"/>
              </w:rPr>
            </w:pPr>
          </w:p>
          <w:p>
            <w:pPr>
              <w:widowControl/>
              <w:spacing w:line="360" w:lineRule="auto"/>
              <w:ind w:right="252" w:rightChars="120"/>
              <w:jc w:val="center"/>
              <w:rPr>
                <w:rFonts w:ascii="宋体" w:hAnsi="宋体" w:cs="宋体"/>
                <w:b/>
                <w:bCs/>
                <w:color w:val="FF0000"/>
                <w:kern w:val="0"/>
                <w:sz w:val="24"/>
              </w:rPr>
            </w:pPr>
          </w:p>
        </w:tc>
      </w:tr>
    </w:tbl>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lang w:val="en-US" w:eastAsia="zh-CN"/>
        </w:rPr>
        <w:t>.</w:t>
      </w:r>
      <w:r>
        <w:rPr>
          <w:rFonts w:hint="eastAsia" w:ascii="宋体" w:hAnsi="宋体"/>
          <w:sz w:val="24"/>
        </w:rPr>
        <w:t>需求小于求职缺口最大的十个职业</w:t>
      </w:r>
    </w:p>
    <w:tbl>
      <w:tblPr>
        <w:tblStyle w:val="8"/>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tblPrEx>
          <w:shd w:val="clear" w:color="auto" w:fill="DAEEF3" w:themeFill="accent5" w:themeFillTint="33"/>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720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-429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0.40 </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255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-345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0.43 </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495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-255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证券交易员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4-05-02-01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222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0.50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0.34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物业管理员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0.55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0.53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144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0.52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174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bl>
    <w:p>
      <w:pPr>
        <w:adjustRightInd w:val="0"/>
        <w:snapToGrid w:val="0"/>
        <w:spacing w:line="360" w:lineRule="auto"/>
        <w:jc w:val="both"/>
        <w:rPr>
          <w:rFonts w:ascii="宋体" w:hAnsi="宋体"/>
          <w:sz w:val="24"/>
        </w:rPr>
      </w:pPr>
    </w:p>
    <w:p>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第一季度</w:t>
      </w:r>
      <w:r>
        <w:rPr>
          <w:rFonts w:hint="eastAsia" w:ascii="宋体" w:hAnsi="宋体" w:cs="宋体"/>
          <w:kern w:val="0"/>
          <w:sz w:val="24"/>
        </w:rPr>
        <w:t>需求缺口排名前三位的是：</w:t>
      </w:r>
      <w:r>
        <w:rPr>
          <w:rFonts w:hint="eastAsia" w:ascii="宋体" w:hAnsi="宋体" w:cs="宋体"/>
          <w:kern w:val="0"/>
          <w:sz w:val="24"/>
          <w:lang w:val="en-US" w:eastAsia="zh-CN"/>
        </w:rPr>
        <w:t>缝纫工、包装工</w:t>
      </w:r>
      <w:r>
        <w:rPr>
          <w:rFonts w:hint="eastAsia" w:ascii="宋体" w:hAnsi="宋体" w:cs="宋体"/>
          <w:kern w:val="0"/>
          <w:sz w:val="24"/>
        </w:rPr>
        <w:t>、</w:t>
      </w:r>
      <w:r>
        <w:rPr>
          <w:rFonts w:hint="eastAsia" w:ascii="宋体" w:hAnsi="宋体" w:cs="宋体"/>
          <w:kern w:val="0"/>
          <w:sz w:val="24"/>
          <w:lang w:val="en-US" w:eastAsia="zh-CN"/>
        </w:rPr>
        <w:t>焊工</w:t>
      </w:r>
      <w:r>
        <w:rPr>
          <w:rFonts w:hint="eastAsia" w:ascii="宋体" w:hAnsi="宋体" w:cs="宋体"/>
          <w:kern w:val="0"/>
          <w:sz w:val="24"/>
        </w:rPr>
        <w:t>，与去年同期及上期情况基本一致，说明这些工种需求量较大，亦与我市产业结构的分布吻合，一线操作工种依旧占我市人力资源市场需求的主体位置。</w:t>
      </w:r>
    </w:p>
    <w:p>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pPr>
        <w:adjustRightInd w:val="0"/>
        <w:snapToGrid w:val="0"/>
        <w:spacing w:line="360" w:lineRule="auto"/>
        <w:ind w:firstLine="480" w:firstLineChars="200"/>
        <w:rPr>
          <w:rFonts w:hint="eastAsia" w:ascii="宋体" w:hAnsi="宋体"/>
          <w:sz w:val="24"/>
        </w:rPr>
      </w:pPr>
      <w:r>
        <w:rPr>
          <w:rFonts w:hint="eastAsia" w:ascii="宋体" w:hAnsi="宋体" w:cs="宋体"/>
          <w:kern w:val="0"/>
          <w:sz w:val="24"/>
        </w:rPr>
        <w:t>根据求职人员类别分析，</w:t>
      </w:r>
      <w:r>
        <w:rPr>
          <w:rFonts w:hint="eastAsia" w:ascii="宋体" w:hAnsi="宋体" w:cs="宋体"/>
          <w:kern w:val="0"/>
          <w:sz w:val="24"/>
          <w:lang w:eastAsia="zh-CN"/>
        </w:rPr>
        <w:t>第一季度</w:t>
      </w:r>
      <w:r>
        <w:rPr>
          <w:rFonts w:hint="eastAsia" w:ascii="宋体" w:hAnsi="宋体" w:cs="宋体"/>
          <w:kern w:val="0"/>
          <w:sz w:val="24"/>
        </w:rPr>
        <w:t>中列前三位的求职者分别是外埠人员</w:t>
      </w:r>
      <w:r>
        <w:rPr>
          <w:rFonts w:hint="eastAsia" w:ascii="宋体" w:hAnsi="宋体" w:cs="宋体"/>
          <w:kern w:val="0"/>
          <w:sz w:val="24"/>
          <w:lang w:val="en-US" w:eastAsia="zh-CN"/>
        </w:rPr>
        <w:t>33.42</w:t>
      </w:r>
      <w:r>
        <w:rPr>
          <w:rFonts w:hint="eastAsia" w:ascii="宋体" w:hAnsi="宋体" w:cs="宋体"/>
          <w:kern w:val="0"/>
          <w:sz w:val="24"/>
        </w:rPr>
        <w:t>%，失业人员</w:t>
      </w:r>
      <w:r>
        <w:rPr>
          <w:rFonts w:hint="eastAsia" w:ascii="宋体" w:hAnsi="宋体" w:cs="宋体"/>
          <w:kern w:val="0"/>
          <w:sz w:val="24"/>
          <w:lang w:val="en-US" w:eastAsia="zh-CN"/>
        </w:rPr>
        <w:t>22.91%</w:t>
      </w:r>
      <w:r>
        <w:rPr>
          <w:rFonts w:hint="eastAsia" w:ascii="宋体" w:hAnsi="宋体" w:cs="宋体"/>
          <w:kern w:val="0"/>
          <w:sz w:val="24"/>
          <w:lang w:eastAsia="zh-CN"/>
        </w:rPr>
        <w:t>，</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77</w:t>
      </w:r>
      <w:r>
        <w:rPr>
          <w:rFonts w:hint="eastAsia" w:ascii="宋体" w:hAnsi="宋体" w:cs="宋体"/>
          <w:kern w:val="0"/>
          <w:sz w:val="24"/>
        </w:rPr>
        <w:t>%。这一情况与去年同期变化不大。说明求职者中，外来劳动力和失业人员一直占求职者的主体。</w:t>
      </w:r>
    </w:p>
    <w:p>
      <w:pPr>
        <w:adjustRightInd w:val="0"/>
        <w:snapToGrid w:val="0"/>
        <w:spacing w:line="360" w:lineRule="auto"/>
        <w:jc w:val="center"/>
        <w:rPr>
          <w:rFonts w:hint="eastAsia"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571"/>
        <w:gridCol w:w="1415"/>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415"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6105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12.84%</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5660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11.90%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10892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22.91%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4309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10352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21.77%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15888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33.42%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47546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bCs/>
          <w:sz w:val="24"/>
        </w:rPr>
      </w:pPr>
      <w:r>
        <w:rPr>
          <w:rFonts w:hint="eastAsia" w:ascii="宋体" w:hAnsi="宋体"/>
          <w:b/>
          <w:bCs/>
          <w:sz w:val="24"/>
        </w:rPr>
        <w:t>1</w:t>
      </w:r>
      <w:r>
        <w:rPr>
          <w:rFonts w:hint="eastAsia" w:ascii="宋体" w:hAnsi="宋体"/>
          <w:b/>
          <w:bCs/>
          <w:sz w:val="24"/>
          <w:lang w:val="en-US" w:eastAsia="zh-CN"/>
        </w:rPr>
        <w:t>.</w:t>
      </w:r>
      <w:r>
        <w:rPr>
          <w:rFonts w:ascii="宋体" w:hAnsi="宋体"/>
          <w:b/>
          <w:bCs/>
          <w:sz w:val="24"/>
        </w:rPr>
        <w:t>年龄</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第一季度</w:t>
      </w:r>
      <w:r>
        <w:rPr>
          <w:rFonts w:ascii="宋体" w:hAnsi="宋体" w:cs="宋体"/>
          <w:kern w:val="0"/>
          <w:sz w:val="24"/>
        </w:rPr>
        <w:t>需求人数最多的是</w:t>
      </w:r>
      <w:r>
        <w:rPr>
          <w:rFonts w:hint="eastAsia" w:ascii="宋体" w:hAnsi="宋体" w:cs="宋体"/>
          <w:kern w:val="0"/>
          <w:sz w:val="24"/>
          <w:lang w:val="en-US" w:eastAsia="zh-CN"/>
        </w:rPr>
        <w:t>25-34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87</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68</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25-34</w:t>
      </w:r>
      <w:r>
        <w:rPr>
          <w:rFonts w:ascii="宋体" w:hAnsi="宋体" w:cs="宋体"/>
          <w:kern w:val="0"/>
          <w:sz w:val="24"/>
        </w:rPr>
        <w:t>岁和</w:t>
      </w:r>
      <w:r>
        <w:rPr>
          <w:rFonts w:hint="eastAsia" w:ascii="宋体" w:hAnsi="宋体" w:cs="宋体"/>
          <w:kern w:val="0"/>
          <w:sz w:val="24"/>
          <w:lang w:val="en-US" w:eastAsia="zh-CN"/>
        </w:rPr>
        <w:t>35-44</w:t>
      </w:r>
      <w:r>
        <w:rPr>
          <w:rFonts w:ascii="宋体" w:hAnsi="宋体" w:cs="宋体"/>
          <w:kern w:val="0"/>
          <w:sz w:val="24"/>
        </w:rPr>
        <w:t>岁的求职人群是求职主体，求职比重分别为</w:t>
      </w:r>
      <w:r>
        <w:rPr>
          <w:rFonts w:hint="eastAsia" w:ascii="宋体" w:hAnsi="宋体" w:cs="宋体"/>
          <w:kern w:val="0"/>
          <w:sz w:val="24"/>
          <w:lang w:val="en-US" w:eastAsia="zh-CN"/>
        </w:rPr>
        <w:t>34.99</w:t>
      </w:r>
      <w:r>
        <w:rPr>
          <w:rFonts w:ascii="宋体" w:hAnsi="宋体" w:cs="宋体"/>
          <w:kern w:val="0"/>
          <w:sz w:val="24"/>
        </w:rPr>
        <w:t>%和</w:t>
      </w:r>
      <w:r>
        <w:rPr>
          <w:rFonts w:hint="eastAsia" w:ascii="宋体" w:hAnsi="宋体" w:cs="宋体"/>
          <w:kern w:val="0"/>
          <w:sz w:val="24"/>
          <w:lang w:val="en-US" w:eastAsia="zh-CN"/>
        </w:rPr>
        <w:t>32.16</w:t>
      </w:r>
      <w:r>
        <w:rPr>
          <w:rFonts w:ascii="宋体" w:hAnsi="宋体" w:cs="宋体"/>
          <w:kern w:val="0"/>
          <w:sz w:val="24"/>
        </w:rPr>
        <w:t>%。</w:t>
      </w:r>
    </w:p>
    <w:p>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16464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28.39%</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14789</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31.10%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17898</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30.87%</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16634</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34.99%</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17421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30.04%</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15292</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32.16%</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973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1.68%</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831</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5232</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57988</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47546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1.2</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bCs/>
          <w:sz w:val="24"/>
        </w:rPr>
      </w:pPr>
      <w:r>
        <w:rPr>
          <w:rFonts w:hint="eastAsia" w:ascii="宋体" w:hAnsi="宋体"/>
          <w:b/>
          <w:bCs/>
          <w:sz w:val="24"/>
        </w:rPr>
        <w:t>2</w:t>
      </w:r>
      <w:r>
        <w:rPr>
          <w:rFonts w:hint="eastAsia" w:ascii="宋体" w:hAnsi="宋体"/>
          <w:b/>
          <w:bCs/>
          <w:sz w:val="24"/>
          <w:lang w:val="en-US" w:eastAsia="zh-CN"/>
        </w:rPr>
        <w:t>.</w:t>
      </w:r>
      <w:r>
        <w:rPr>
          <w:rFonts w:ascii="宋体" w:hAnsi="宋体"/>
          <w:b/>
          <w:bCs/>
          <w:sz w:val="24"/>
        </w:rPr>
        <w:t>文化程度</w:t>
      </w:r>
    </w:p>
    <w:p>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第一季度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w:t>
      </w:r>
      <w:r>
        <w:rPr>
          <w:rFonts w:hint="eastAsia" w:ascii="宋体" w:hAnsi="宋体" w:cs="宋体"/>
          <w:kern w:val="0"/>
          <w:sz w:val="24"/>
          <w:lang w:val="en-US" w:eastAsia="zh-CN"/>
        </w:rPr>
        <w:t>20.82</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4966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8.56%</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4110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13528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23.33%</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11007</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23.15%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6867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5534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27238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22299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12072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9984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184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0.31%</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57988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47546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技术等级或职称</w:t>
      </w:r>
    </w:p>
    <w:p>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48.73</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50.48</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21797</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37.59%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17187</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36.15%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3992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6.88%</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3102</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1465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2.49%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423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188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0.40%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1179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969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528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23999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50.48%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28257</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48.73%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57988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47546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bl>
    <w:p>
      <w:pPr>
        <w:adjustRightInd w:val="0"/>
        <w:snapToGrid w:val="0"/>
        <w:spacing w:line="360" w:lineRule="auto"/>
        <w:jc w:val="left"/>
        <w:rPr>
          <w:rFonts w:ascii="宋体" w:hAnsi="宋体"/>
          <w:sz w:val="24"/>
          <w:highlight w:val="yellow"/>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
          <w:sz w:val="24"/>
        </w:rPr>
      </w:pPr>
      <w:r>
        <w:rPr>
          <w:rFonts w:hint="eastAsia" w:ascii="宋体" w:hAnsi="宋体"/>
          <w:sz w:val="24"/>
        </w:rPr>
        <w:t>三、</w:t>
      </w:r>
      <w:r>
        <w:rPr>
          <w:rFonts w:hint="eastAsia" w:ascii="宋体" w:hAnsi="宋体"/>
          <w:b/>
          <w:sz w:val="24"/>
          <w:lang w:val="en-US" w:eastAsia="zh-CN"/>
        </w:rPr>
        <w:t>2023年第一季度人</w:t>
      </w:r>
      <w:r>
        <w:rPr>
          <w:rFonts w:hint="eastAsia" w:ascii="宋体" w:hAnsi="宋体"/>
          <w:b/>
          <w:sz w:val="24"/>
        </w:rPr>
        <w:t>力资源市场运行状况和特点及应对措施</w:t>
      </w:r>
    </w:p>
    <w:p>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b/>
          <w:sz w:val="24"/>
        </w:rPr>
      </w:pPr>
      <w:r>
        <w:rPr>
          <w:rFonts w:hint="eastAsia" w:ascii="宋体" w:hAnsi="宋体"/>
          <w:b/>
          <w:sz w:val="24"/>
        </w:rPr>
        <w:t>（一）</w:t>
      </w:r>
      <w:r>
        <w:rPr>
          <w:rFonts w:hint="eastAsia" w:ascii="宋体" w:hAnsi="宋体"/>
          <w:b/>
          <w:sz w:val="24"/>
          <w:lang w:val="en-US" w:eastAsia="zh-CN"/>
        </w:rPr>
        <w:t>第一季度</w:t>
      </w:r>
      <w:bookmarkStart w:id="0" w:name="_GoBack"/>
      <w:bookmarkEnd w:id="0"/>
      <w:r>
        <w:rPr>
          <w:rFonts w:hint="eastAsia" w:ascii="宋体" w:hAnsi="宋体"/>
          <w:b/>
          <w:sz w:val="24"/>
        </w:rPr>
        <w:t>人力资源市场运行状况和特点</w:t>
      </w:r>
    </w:p>
    <w:p>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ascii="宋体" w:hAnsi="宋体"/>
          <w:sz w:val="24"/>
        </w:rPr>
      </w:pPr>
      <w:r>
        <w:rPr>
          <w:rFonts w:hint="eastAsia" w:ascii="宋体" w:hAnsi="宋体"/>
          <w:sz w:val="24"/>
          <w:lang w:eastAsia="zh-CN"/>
        </w:rPr>
        <w:t>第一季度</w:t>
      </w:r>
      <w:r>
        <w:rPr>
          <w:rFonts w:hint="eastAsia" w:ascii="宋体" w:hAnsi="宋体"/>
          <w:sz w:val="24"/>
        </w:rPr>
        <w:t>需求数为</w:t>
      </w:r>
      <w:r>
        <w:rPr>
          <w:rFonts w:hint="eastAsia" w:ascii="宋体" w:hAnsi="宋体"/>
          <w:sz w:val="24"/>
          <w:lang w:val="en-US" w:eastAsia="zh-CN"/>
        </w:rPr>
        <w:t>57988</w:t>
      </w:r>
      <w:r>
        <w:rPr>
          <w:rFonts w:hint="eastAsia" w:ascii="宋体" w:hAnsi="宋体"/>
          <w:sz w:val="24"/>
        </w:rPr>
        <w:t>人，求职数为</w:t>
      </w:r>
      <w:r>
        <w:rPr>
          <w:rFonts w:hint="eastAsia" w:ascii="宋体" w:hAnsi="宋体"/>
          <w:sz w:val="24"/>
          <w:lang w:val="en-US" w:eastAsia="zh-CN"/>
        </w:rPr>
        <w:t>47546</w:t>
      </w:r>
      <w:r>
        <w:rPr>
          <w:rFonts w:hint="eastAsia" w:ascii="宋体" w:hAnsi="宋体"/>
          <w:sz w:val="24"/>
        </w:rPr>
        <w:t>人，求人倍率为1.2</w:t>
      </w:r>
      <w:r>
        <w:rPr>
          <w:rFonts w:hint="eastAsia" w:ascii="宋体" w:hAnsi="宋体"/>
          <w:sz w:val="24"/>
          <w:lang w:val="en-US" w:eastAsia="zh-CN"/>
        </w:rPr>
        <w:t>2</w:t>
      </w:r>
      <w:r>
        <w:rPr>
          <w:rFonts w:hint="eastAsia" w:ascii="宋体" w:hAnsi="宋体"/>
          <w:sz w:val="24"/>
        </w:rPr>
        <w:t>，求人倍率</w:t>
      </w:r>
      <w:r>
        <w:rPr>
          <w:rFonts w:hint="eastAsia" w:ascii="宋体" w:hAnsi="宋体"/>
          <w:sz w:val="24"/>
          <w:lang w:val="en-US" w:eastAsia="zh-CN"/>
        </w:rPr>
        <w:t>比去年第四季度略有提升</w:t>
      </w:r>
      <w:r>
        <w:rPr>
          <w:rFonts w:hint="eastAsia" w:ascii="宋体" w:hAnsi="宋体"/>
          <w:sz w:val="24"/>
        </w:rPr>
        <w:t>。</w:t>
      </w:r>
      <w:r>
        <w:rPr>
          <w:rFonts w:hint="eastAsia" w:ascii="宋体" w:hAnsi="宋体"/>
          <w:sz w:val="24"/>
          <w:lang w:val="en-US" w:eastAsia="zh-CN"/>
        </w:rPr>
        <w:t>与去年同期相比</w:t>
      </w:r>
      <w:r>
        <w:rPr>
          <w:rFonts w:hint="eastAsia" w:ascii="宋体" w:hAnsi="宋体"/>
          <w:sz w:val="24"/>
        </w:rPr>
        <w:t>，</w:t>
      </w:r>
      <w:r>
        <w:rPr>
          <w:rFonts w:hint="eastAsia" w:ascii="宋体" w:hAnsi="宋体"/>
          <w:sz w:val="24"/>
          <w:lang w:val="en-US" w:eastAsia="zh-CN"/>
        </w:rPr>
        <w:t>企业需求人数和求职人数都有所增加，</w:t>
      </w:r>
      <w:r>
        <w:rPr>
          <w:rFonts w:hint="eastAsia" w:ascii="宋体" w:hAnsi="宋体"/>
          <w:sz w:val="24"/>
        </w:rPr>
        <w:t>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lang w:val="en-US" w:eastAsia="zh-CN"/>
        </w:rPr>
      </w:pPr>
      <w:r>
        <w:rPr>
          <w:rFonts w:hint="eastAsia" w:ascii="宋体" w:hAnsi="宋体"/>
          <w:b/>
          <w:sz w:val="24"/>
        </w:rPr>
        <w:t>（二）招工难的原因分析</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1.就业观念的改变</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sz w:val="24"/>
          <w:lang w:eastAsia="zh-CN"/>
        </w:rPr>
      </w:pPr>
      <w:r>
        <w:rPr>
          <w:rFonts w:hint="eastAsia" w:ascii="宋体" w:hAnsi="宋体"/>
          <w:sz w:val="24"/>
        </w:rPr>
        <w:t>由于物质生活条件的改善及经济社会的快速发展，现在年轻人赚钱养家糊口之外，更加在意自由的工作方式和自我价值的实现</w:t>
      </w:r>
      <w:r>
        <w:rPr>
          <w:rFonts w:hint="eastAsia" w:ascii="宋体" w:hAnsi="宋体"/>
          <w:sz w:val="24"/>
          <w:lang w:eastAsia="zh-CN"/>
        </w:rPr>
        <w:t>；</w:t>
      </w:r>
    </w:p>
    <w:p>
      <w:pPr>
        <w:keepNext w:val="0"/>
        <w:keepLines w:val="0"/>
        <w:pageBreakBefore w:val="0"/>
        <w:numPr>
          <w:ilvl w:val="0"/>
          <w:numId w:val="0"/>
        </w:numPr>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2.中小企业无力创造高薪岗位</w:t>
      </w:r>
    </w:p>
    <w:p>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rPr>
      </w:pPr>
      <w:r>
        <w:rPr>
          <w:rFonts w:hint="eastAsia" w:ascii="宋体" w:hAnsi="宋体"/>
          <w:sz w:val="24"/>
        </w:rPr>
        <w:t>不提高工资水平，企业就招不够人，原材料、能源价格上涨、消费不振是短期原因，而技术创新滞后导致丧失产品定价权则是长期原因。</w:t>
      </w:r>
    </w:p>
    <w:p>
      <w:pPr>
        <w:keepNext w:val="0"/>
        <w:keepLines w:val="0"/>
        <w:pageBreakBefore w:val="0"/>
        <w:numPr>
          <w:ilvl w:val="0"/>
          <w:numId w:val="0"/>
        </w:numPr>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3.中介乱象加剧劳动力市场的信息不对称</w:t>
      </w:r>
    </w:p>
    <w:p>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val="en-US" w:eastAsia="zh-CN"/>
        </w:rPr>
      </w:pPr>
      <w:r>
        <w:rPr>
          <w:rFonts w:hint="eastAsia" w:ascii="宋体" w:hAnsi="宋体"/>
          <w:sz w:val="24"/>
        </w:rPr>
        <w:t>企业信不过信誉欠佳的中介，劳动者也不愿相信中介信息，招工难和就业难再次被强化。</w:t>
      </w:r>
    </w:p>
    <w:p>
      <w:pPr>
        <w:pStyle w:val="20"/>
        <w:keepNext w:val="0"/>
        <w:keepLines w:val="0"/>
        <w:pageBreakBefore w:val="0"/>
        <w:numPr>
          <w:ilvl w:val="0"/>
          <w:numId w:val="1"/>
        </w:numPr>
        <w:kinsoku/>
        <w:wordWrap/>
        <w:overflowPunct/>
        <w:topLinePunct w:val="0"/>
        <w:autoSpaceDE/>
        <w:autoSpaceDN/>
        <w:bidi w:val="0"/>
        <w:spacing w:line="360" w:lineRule="auto"/>
        <w:ind w:leftChars="0" w:firstLine="482" w:firstLineChars="200"/>
        <w:textAlignment w:val="auto"/>
        <w:rPr>
          <w:rFonts w:hint="eastAsia" w:ascii="宋体" w:hAnsi="宋体"/>
          <w:b/>
          <w:sz w:val="24"/>
        </w:rPr>
      </w:pPr>
      <w:r>
        <w:rPr>
          <w:rFonts w:hint="eastAsia" w:ascii="宋体" w:hAnsi="宋体"/>
          <w:b/>
          <w:sz w:val="24"/>
        </w:rPr>
        <w:t>针对以上情况，我市采取了积极的应对措施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482" w:firstLineChars="200"/>
        <w:rPr>
          <w:rFonts w:hint="default" w:ascii="宋体" w:hAnsi="宋体" w:eastAsia="宋体" w:cs="宋体"/>
          <w:b/>
          <w:bCs/>
          <w:kern w:val="44"/>
          <w:sz w:val="24"/>
          <w:szCs w:val="48"/>
          <w:lang w:val="en-US" w:eastAsia="zh-CN" w:bidi="ar"/>
        </w:rPr>
      </w:pPr>
      <w:r>
        <w:rPr>
          <w:rFonts w:hint="eastAsia" w:ascii="宋体" w:hAnsi="宋体"/>
          <w:b/>
          <w:sz w:val="24"/>
          <w:lang w:val="en-US" w:eastAsia="zh-CN"/>
        </w:rPr>
        <w:t>1.</w:t>
      </w:r>
      <w:r>
        <w:rPr>
          <w:rFonts w:hint="eastAsia"/>
          <w:b/>
          <w:sz w:val="24"/>
          <w:lang w:val="en-US" w:eastAsia="zh-CN"/>
        </w:rPr>
        <w:t>张家港成功举办</w:t>
      </w:r>
      <w:r>
        <w:rPr>
          <w:rFonts w:hint="eastAsia" w:ascii="宋体" w:hAnsi="宋体"/>
          <w:sz w:val="24"/>
          <w:lang w:val="en-US" w:eastAsia="zh-CN"/>
        </w:rPr>
        <w:t>2024年春季大型人才交流会</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lang w:val="en-US" w:eastAsia="zh-CN"/>
        </w:rPr>
      </w:pPr>
      <w:r>
        <w:rPr>
          <w:rFonts w:hint="eastAsia" w:ascii="宋体" w:hAnsi="宋体"/>
          <w:sz w:val="24"/>
          <w:lang w:val="en-US" w:eastAsia="zh-CN"/>
        </w:rPr>
        <w:t>2月24日，张家港市2024年春季大型人才交流会在市体育馆成功举办。交流会现场，沙钢集团、光束汽车、国泰超威等365家港城重点企业、重大引进项目、人才企业等用人单位参会，提供了12068个就业岗位，涵盖机械工程、生物医药、新能源、软件开发、运营管理等多个领域。为邀请更多求职者参会，市人社局提前通过张家港人才网、微信公众号、抖音直播间等平台，以及市融媒体全矩阵媒介进行岗位宣传推介，并利用移动大数据定向推送信息20万条，让“招聘的春风”吹得更远更广。据统计，现场参会的求职者达到8100人。“为方便求职人员按需求职，我们还分类设置了重大项目、领军人才企业、新业态岗位、暖心就业、综合招聘等对接专区，提供了零工岗位、就业困难人员、退役军人等专属岗位，精准帮助重点群体就好业。”市人力资源和社会保障局党委委员、市人力资源管理服务中心主任盛宇红介绍。</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lang w:val="en-US" w:eastAsia="zh-CN"/>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sz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right="0" w:firstLine="482" w:firstLineChars="200"/>
        <w:rPr>
          <w:rFonts w:hint="eastAsia"/>
          <w:b/>
          <w:sz w:val="24"/>
          <w:lang w:val="en-US" w:eastAsia="zh-CN"/>
        </w:rPr>
      </w:pPr>
      <w:r>
        <w:rPr>
          <w:rFonts w:hint="eastAsia"/>
          <w:b/>
          <w:sz w:val="24"/>
          <w:lang w:val="en-US" w:eastAsia="zh-CN"/>
        </w:rPr>
        <w:t>2.2024年度“就在苏州·留在苏州”大学生开学第一课开讲！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60" w:lineRule="auto"/>
        <w:ind w:left="0" w:right="0" w:firstLine="480" w:firstLineChars="200"/>
        <w:textAlignment w:val="auto"/>
        <w:rPr>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一年之计在于春！为全面落实“四个走在前”“四个新”重大任务，全力推进“全年引留高校毕业生18万人以上”的目标实施，3月7日，2024年度“就在苏州·留在苏州”大学生开学第一课在江苏科技大学张家港校区开讲，校地携手开启高质量就业的第一课。活动通过校地共同讲授“大学生开学第一课”的形式，助力大学生端正就业观、走稳就业路，让充分高质量就业的理念在青年学子中早萌芽、深扎根。课上，苏州市人力资源和社会保障局局长朱正诚恳地向青年学子发出邀约：苏州把高校毕业生就业工作摆在突出位置，积极培塑“苏州对青年更友好、青年在苏州更有为”的良好生态，合力构建贴心的就业服务、精准的求职渠道、完备的发展配套，全力保障青年人才施展抱负、圆梦苏州，推动青年与城市双向奔赴、相互成就。2023年度“大学生开学第一课”暨“走进苏州”系列主题活动启动后，全市人社部门多级联动，积极搭建青年学子深入了解苏州的平台，形成了良好的社会效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482" w:firstLineChars="200"/>
        <w:rPr>
          <w:rFonts w:hint="eastAsia" w:ascii="Times New Roman" w:hAnsi="Times New Roman" w:eastAsia="宋体" w:cs="Times New Roman"/>
          <w:b/>
          <w:bCs w:val="0"/>
          <w:kern w:val="0"/>
          <w:sz w:val="24"/>
          <w:szCs w:val="24"/>
          <w:lang w:val="en-US" w:eastAsia="zh-CN" w:bidi="ar"/>
        </w:rPr>
      </w:pPr>
      <w:r>
        <w:rPr>
          <w:rFonts w:hint="eastAsia" w:ascii="Times New Roman" w:hAnsi="Times New Roman" w:eastAsia="宋体" w:cs="Times New Roman"/>
          <w:b/>
          <w:bCs w:val="0"/>
          <w:kern w:val="0"/>
          <w:sz w:val="24"/>
          <w:szCs w:val="24"/>
          <w:lang w:val="en-US" w:eastAsia="zh-CN" w:bidi="ar"/>
        </w:rPr>
        <w:t>3.</w:t>
      </w:r>
      <w:r>
        <w:rPr>
          <w:rFonts w:hint="eastAsia"/>
          <w:b/>
          <w:sz w:val="24"/>
          <w:lang w:val="en-US" w:eastAsia="zh-CN"/>
        </w:rPr>
        <w:t>港城开向河南的“引才专列”收获满满</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outlineLvl w:val="0"/>
        <w:rPr>
          <w:rFonts w:hint="eastAsia"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3月13日至15日，2024年上半年“苏州校园日”张家港专列驶进中州大地，携9家重点企业320个就业岗位奔赴郑州大学、河南工业大学、郑州轻工业大学开展校园招聘活动。3天时间里，这趟“引才专列”收获满满，9家企业共收到简历1160份，达成初步就业意向240人。据悉，本次校园引才线路选定的3所高校，与张家港大力推动的新能源、智能高端装备、先进材料等优势产业集群发展需求高度契合，9家港城重点企业和重大项目提供了320个就业岗位，涵盖新能源汽车、机械电气、化工新材料等多个专业领域，实现了优异生源与优质岗位的有效对接</w:t>
      </w:r>
      <w:r>
        <w:rPr>
          <w:rFonts w:hint="eastAsia" w:cs="Times New Roman"/>
          <w:b w:val="0"/>
          <w:bCs w:val="0"/>
          <w:kern w:val="2"/>
          <w:sz w:val="24"/>
          <w:szCs w:val="24"/>
          <w:lang w:val="en-US" w:eastAsia="zh-CN" w:bidi="ar-SA"/>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outlineLvl w:val="0"/>
        <w:rPr>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接下来，“校园苏州日”“就在张家港”引才专列还将奔赴中国矿业大学、华中科技大学、西北大学等省内外各大高校开展校园招聘活动，吸引集聚更多青年人才投身港城建设，为企业搭建高质量人才引育平台，为经济社会高质量发展提供人才和智力支持。</w:t>
      </w:r>
    </w:p>
    <w:p>
      <w:pPr>
        <w:adjustRightInd w:val="0"/>
        <w:snapToGrid w:val="0"/>
        <w:spacing w:line="360" w:lineRule="auto"/>
        <w:ind w:firstLine="480" w:firstLineChars="200"/>
        <w:jc w:val="left"/>
        <w:rPr>
          <w:rFonts w:hint="eastAsia" w:ascii="宋体" w:hAnsi="宋体" w:eastAsia="宋体" w:cs="Times New Roman"/>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F1AF4F"/>
    <w:multiLevelType w:val="singleLevel"/>
    <w:tmpl w:val="33F1AF4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E5534"/>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0761CD"/>
    <w:rsid w:val="01276EE8"/>
    <w:rsid w:val="016043AA"/>
    <w:rsid w:val="01CC65FD"/>
    <w:rsid w:val="02600504"/>
    <w:rsid w:val="027A76EE"/>
    <w:rsid w:val="039447DF"/>
    <w:rsid w:val="043233E6"/>
    <w:rsid w:val="04CF7BBB"/>
    <w:rsid w:val="04F65062"/>
    <w:rsid w:val="06606BFB"/>
    <w:rsid w:val="06C528FA"/>
    <w:rsid w:val="080A1514"/>
    <w:rsid w:val="09463857"/>
    <w:rsid w:val="0BCD7620"/>
    <w:rsid w:val="0D133A1F"/>
    <w:rsid w:val="0DA254D8"/>
    <w:rsid w:val="0E4F332A"/>
    <w:rsid w:val="0FBE0066"/>
    <w:rsid w:val="10B65D95"/>
    <w:rsid w:val="111C252A"/>
    <w:rsid w:val="112F5B47"/>
    <w:rsid w:val="12BC5C94"/>
    <w:rsid w:val="12E017EF"/>
    <w:rsid w:val="143040B0"/>
    <w:rsid w:val="14FA12D8"/>
    <w:rsid w:val="165E1976"/>
    <w:rsid w:val="165F0455"/>
    <w:rsid w:val="16D03928"/>
    <w:rsid w:val="171D2EE8"/>
    <w:rsid w:val="17463BEB"/>
    <w:rsid w:val="186D7547"/>
    <w:rsid w:val="18D92F68"/>
    <w:rsid w:val="191341EA"/>
    <w:rsid w:val="1930537C"/>
    <w:rsid w:val="19454106"/>
    <w:rsid w:val="19E576EB"/>
    <w:rsid w:val="1A1C219D"/>
    <w:rsid w:val="1A497C7A"/>
    <w:rsid w:val="1C04507F"/>
    <w:rsid w:val="1C2C1B1A"/>
    <w:rsid w:val="1CB40D12"/>
    <w:rsid w:val="1CC17059"/>
    <w:rsid w:val="1D4F6D3D"/>
    <w:rsid w:val="1D7315FE"/>
    <w:rsid w:val="1E1C35D9"/>
    <w:rsid w:val="1F18526B"/>
    <w:rsid w:val="1F4A60B4"/>
    <w:rsid w:val="20A72B06"/>
    <w:rsid w:val="20E66BBC"/>
    <w:rsid w:val="21412C93"/>
    <w:rsid w:val="21466757"/>
    <w:rsid w:val="22223C2E"/>
    <w:rsid w:val="23097FD3"/>
    <w:rsid w:val="248178F2"/>
    <w:rsid w:val="248D2E59"/>
    <w:rsid w:val="24B14A96"/>
    <w:rsid w:val="25115838"/>
    <w:rsid w:val="275544FE"/>
    <w:rsid w:val="27F87FBF"/>
    <w:rsid w:val="296B7D86"/>
    <w:rsid w:val="2A0E10AB"/>
    <w:rsid w:val="2A32072A"/>
    <w:rsid w:val="2ADF3CE2"/>
    <w:rsid w:val="2B267C2C"/>
    <w:rsid w:val="2B2C3A0F"/>
    <w:rsid w:val="2B58324B"/>
    <w:rsid w:val="2D4B38B1"/>
    <w:rsid w:val="2D8F19AF"/>
    <w:rsid w:val="2E073C78"/>
    <w:rsid w:val="2E46039E"/>
    <w:rsid w:val="2E7B1445"/>
    <w:rsid w:val="2EAE2DFA"/>
    <w:rsid w:val="2EF91EDC"/>
    <w:rsid w:val="2F452CAE"/>
    <w:rsid w:val="2FA35DFD"/>
    <w:rsid w:val="2FF13BF2"/>
    <w:rsid w:val="325274FF"/>
    <w:rsid w:val="32D76AE7"/>
    <w:rsid w:val="333C7DDE"/>
    <w:rsid w:val="34135C98"/>
    <w:rsid w:val="34DF75CD"/>
    <w:rsid w:val="34F21A21"/>
    <w:rsid w:val="35380BBF"/>
    <w:rsid w:val="353A4937"/>
    <w:rsid w:val="35D703D8"/>
    <w:rsid w:val="366F017D"/>
    <w:rsid w:val="376037DD"/>
    <w:rsid w:val="37A91900"/>
    <w:rsid w:val="38BC3C70"/>
    <w:rsid w:val="39463B64"/>
    <w:rsid w:val="3A2516E2"/>
    <w:rsid w:val="3AC86FBB"/>
    <w:rsid w:val="3B114DF7"/>
    <w:rsid w:val="3D436353"/>
    <w:rsid w:val="3DC244F3"/>
    <w:rsid w:val="3DD376D7"/>
    <w:rsid w:val="3E5C7AFE"/>
    <w:rsid w:val="3ED9165E"/>
    <w:rsid w:val="3F285800"/>
    <w:rsid w:val="3F2866EC"/>
    <w:rsid w:val="40354679"/>
    <w:rsid w:val="40D8162D"/>
    <w:rsid w:val="410B7187"/>
    <w:rsid w:val="413B1790"/>
    <w:rsid w:val="42482694"/>
    <w:rsid w:val="426D3347"/>
    <w:rsid w:val="42E90506"/>
    <w:rsid w:val="44945DD7"/>
    <w:rsid w:val="45007DE5"/>
    <w:rsid w:val="45A2455E"/>
    <w:rsid w:val="45D57DBD"/>
    <w:rsid w:val="4641577C"/>
    <w:rsid w:val="476B6BD2"/>
    <w:rsid w:val="47C01653"/>
    <w:rsid w:val="47E36CF9"/>
    <w:rsid w:val="48186781"/>
    <w:rsid w:val="49752BC5"/>
    <w:rsid w:val="49AF0FF8"/>
    <w:rsid w:val="4AC47897"/>
    <w:rsid w:val="4D0C050F"/>
    <w:rsid w:val="4D422183"/>
    <w:rsid w:val="4D460FB1"/>
    <w:rsid w:val="4E48633D"/>
    <w:rsid w:val="4F0A4F22"/>
    <w:rsid w:val="4F7E64C7"/>
    <w:rsid w:val="4FE13ED5"/>
    <w:rsid w:val="5188365A"/>
    <w:rsid w:val="51930FD3"/>
    <w:rsid w:val="5229020B"/>
    <w:rsid w:val="52533B17"/>
    <w:rsid w:val="52735E42"/>
    <w:rsid w:val="52950FA7"/>
    <w:rsid w:val="52DD7F62"/>
    <w:rsid w:val="54FE70B6"/>
    <w:rsid w:val="55FD2188"/>
    <w:rsid w:val="56011B60"/>
    <w:rsid w:val="564231F4"/>
    <w:rsid w:val="56554CD5"/>
    <w:rsid w:val="57077AC2"/>
    <w:rsid w:val="57AA72A2"/>
    <w:rsid w:val="580A1D58"/>
    <w:rsid w:val="581F4DC3"/>
    <w:rsid w:val="583A6878"/>
    <w:rsid w:val="58607F51"/>
    <w:rsid w:val="58D30257"/>
    <w:rsid w:val="594159E5"/>
    <w:rsid w:val="59F259C1"/>
    <w:rsid w:val="5A74434F"/>
    <w:rsid w:val="5D115701"/>
    <w:rsid w:val="5D7B1CC1"/>
    <w:rsid w:val="5D8C4DAE"/>
    <w:rsid w:val="5ED115B9"/>
    <w:rsid w:val="5F8D097E"/>
    <w:rsid w:val="602E60BA"/>
    <w:rsid w:val="610E08A2"/>
    <w:rsid w:val="62B203B6"/>
    <w:rsid w:val="630B5DCB"/>
    <w:rsid w:val="63155F18"/>
    <w:rsid w:val="64EF7C62"/>
    <w:rsid w:val="65D6012C"/>
    <w:rsid w:val="6612673F"/>
    <w:rsid w:val="66E924E3"/>
    <w:rsid w:val="674943E2"/>
    <w:rsid w:val="6818595B"/>
    <w:rsid w:val="68B630D0"/>
    <w:rsid w:val="68CF4340"/>
    <w:rsid w:val="68DC4DE2"/>
    <w:rsid w:val="69CC12FA"/>
    <w:rsid w:val="69CE6E20"/>
    <w:rsid w:val="6BBD5ED0"/>
    <w:rsid w:val="6BBF6898"/>
    <w:rsid w:val="6BDA7CFF"/>
    <w:rsid w:val="6D0019E7"/>
    <w:rsid w:val="6E7F693B"/>
    <w:rsid w:val="6E8842D7"/>
    <w:rsid w:val="6E9D553D"/>
    <w:rsid w:val="6F5C0A2B"/>
    <w:rsid w:val="6F7C26C4"/>
    <w:rsid w:val="709C468C"/>
    <w:rsid w:val="715A6CDB"/>
    <w:rsid w:val="718B3849"/>
    <w:rsid w:val="726A07D9"/>
    <w:rsid w:val="728C7879"/>
    <w:rsid w:val="72DF209E"/>
    <w:rsid w:val="731A1328"/>
    <w:rsid w:val="734300DC"/>
    <w:rsid w:val="73BB0416"/>
    <w:rsid w:val="75241FEA"/>
    <w:rsid w:val="75FF0362"/>
    <w:rsid w:val="76AA32D9"/>
    <w:rsid w:val="77057911"/>
    <w:rsid w:val="77245B9A"/>
    <w:rsid w:val="7969142D"/>
    <w:rsid w:val="79AE38A9"/>
    <w:rsid w:val="7A493B47"/>
    <w:rsid w:val="7A500CBF"/>
    <w:rsid w:val="7A560AC8"/>
    <w:rsid w:val="7C174657"/>
    <w:rsid w:val="7C7F3FAA"/>
    <w:rsid w:val="7CAB2DCD"/>
    <w:rsid w:val="7D4B14A7"/>
    <w:rsid w:val="7D6A4C5A"/>
    <w:rsid w:val="7D9577C3"/>
    <w:rsid w:val="7E454AC0"/>
    <w:rsid w:val="7EA85D13"/>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autoRedefine/>
    <w:semiHidden/>
    <w:qFormat/>
    <w:uiPriority w:val="0"/>
    <w:pPr>
      <w:shd w:val="clear" w:color="auto" w:fill="000080"/>
    </w:pPr>
  </w:style>
  <w:style w:type="paragraph" w:styleId="4">
    <w:name w:val="Balloon Text"/>
    <w:basedOn w:val="1"/>
    <w:link w:val="15"/>
    <w:autoRedefine/>
    <w:semiHidden/>
    <w:unhideWhenUsed/>
    <w:qFormat/>
    <w:uiPriority w:val="0"/>
    <w:rPr>
      <w:sz w:val="18"/>
      <w:szCs w:val="18"/>
    </w:rPr>
  </w:style>
  <w:style w:type="paragraph" w:styleId="5">
    <w:name w:val="footer"/>
    <w:basedOn w:val="1"/>
    <w:link w:val="14"/>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页眉 Char"/>
    <w:basedOn w:val="10"/>
    <w:link w:val="6"/>
    <w:autoRedefine/>
    <w:qFormat/>
    <w:uiPriority w:val="0"/>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autoRedefine/>
    <w:qFormat/>
    <w:uiPriority w:val="0"/>
    <w:pPr>
      <w:widowControl/>
      <w:ind w:firstLine="454"/>
      <w:jc w:val="left"/>
    </w:pPr>
    <w:rPr>
      <w:rFonts w:ascii="Tahoma" w:hAnsi="Tahoma" w:cs="宋体"/>
      <w:kern w:val="0"/>
      <w:szCs w:val="20"/>
    </w:rPr>
  </w:style>
  <w:style w:type="character" w:customStyle="1" w:styleId="17">
    <w:name w:val="文档结构图 Char"/>
    <w:basedOn w:val="10"/>
    <w:link w:val="3"/>
    <w:autoRedefine/>
    <w:semiHidden/>
    <w:qFormat/>
    <w:uiPriority w:val="0"/>
    <w:rPr>
      <w:rFonts w:ascii="Times New Roman" w:hAnsi="Times New Roman" w:eastAsia="宋体" w:cs="Times New Roman"/>
      <w:szCs w:val="24"/>
      <w:shd w:val="clear" w:color="auto" w:fill="000080"/>
    </w:rPr>
  </w:style>
  <w:style w:type="paragraph" w:customStyle="1" w:styleId="18">
    <w:name w:val="Char"/>
    <w:basedOn w:val="1"/>
    <w:autoRedefine/>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4073</Words>
  <Characters>5576</Characters>
  <Lines>47</Lines>
  <Paragraphs>13</Paragraphs>
  <TotalTime>11</TotalTime>
  <ScaleCrop>false</ScaleCrop>
  <LinksUpToDate>false</LinksUpToDate>
  <CharactersWithSpaces>5709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2024-05-26T07:54:26Z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298346F391894988B3FCE665AEDBC983_13</vt:lpwstr>
  </property>
</Properties>
</file>